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0" w:before="0"/>
      </w:pPr>
      <w:r>
        <w:rPr>
          <w:rFonts w:ascii="Garamond" w:cs="Garamond" w:eastAsia="Garamond" w:hAnsi="Garamond"/>
          <w:b w:val="false"/>
          <w:bCs w:val="false"/>
          <w:i w:val="false"/>
          <w:iCs w:val="false"/>
          <w:color w:val="9A7B3C"/>
          <w:sz w:val="48"/>
          <w:szCs w:val="48"/>
        </w:rPr>
        <w:t xml:space="preserve">A U R E</w:t>
      </w:r>
    </w:p>
    <w:p>
      <w:pPr>
        <w:spacing w:after="30" w:before="0"/>
      </w:pPr>
      <w:r>
        <w:rPr>
          <w:rFonts w:ascii="Garamond" w:cs="Garamond" w:eastAsia="Garamond" w:hAnsi="Garamond"/>
          <w:b w:val="false"/>
          <w:bCs w:val="false"/>
          <w:i/>
          <w:iCs/>
          <w:color w:val="8C8072"/>
          <w:sz w:val="21"/>
          <w:szCs w:val="21"/>
        </w:rPr>
        <w:t xml:space="preserve">Adaptive Unified Rebalancing Engine</w:t>
      </w:r>
    </w:p>
    <w:p>
      <w:pPr>
        <w:spacing w:after="60" w:before="0"/>
      </w:pPr>
      <w:r>
        <w:rPr>
          <w:rFonts w:ascii="Garamond" w:cs="Garamond" w:eastAsia="Garamond" w:hAnsi="Garamond"/>
          <w:b w:val="false"/>
          <w:bCs w:val="false"/>
          <w:i w:val="false"/>
          <w:iCs w:val="false"/>
          <w:color w:val="8C8072"/>
          <w:sz w:val="17"/>
          <w:szCs w:val="17"/>
        </w:rPr>
        <w:t xml:space="preserve">Technical Whitepaper v3  |  brightcloud.ai  |  April 2026</w:t>
      </w:r>
    </w:p>
    <w:p>
      <w:pPr>
        <w:pBdr>
          <w:bottom w:val="single" w:color="9A7B3C" w:sz="2"/>
        </w:pBdr>
        <w:spacing w:after="240" w:before="0"/>
      </w:pPr>
    </w:p>
    <w:p>
      <w:pPr>
        <w:pStyle w:val="Heading1"/>
        <w:spacing w:after="140" w:before="0"/>
      </w:pPr>
      <w:r>
        <w:rPr>
          <w:rFonts w:ascii="Garamond" w:cs="Garamond" w:eastAsia="Garamond" w:hAnsi="Garamond"/>
          <w:b w:val="false"/>
          <w:bCs w:val="false"/>
          <w:i w:val="false"/>
          <w:iCs w:val="false"/>
          <w:color w:val="1A1613"/>
          <w:sz w:val="20"/>
          <w:szCs w:val="20"/>
        </w:rPr>
        <w:t xml:space="preserve">1. Thesis</w:t>
      </w:r>
    </w:p>
    <w:p>
      <w:pPr>
        <w:spacing w:after="140" w:before="0"/>
      </w:pPr>
      <w:r>
        <w:rPr>
          <w:rFonts w:ascii="Garamond" w:cs="Garamond" w:eastAsia="Garamond" w:hAnsi="Garamond"/>
          <w:b w:val="false"/>
          <w:bCs w:val="false"/>
          <w:i w:val="false"/>
          <w:iCs w:val="false"/>
          <w:color w:val="1A1613"/>
          <w:sz w:val="20"/>
          <w:szCs w:val="20"/>
        </w:rPr>
        <w:t xml:space="preserve">AURE is a multi-signal market intelligence engine designed to identify probabilistic directional trade hypotheses by combining political disclosures, institutional filings, options and dark-pool activity, and geopolitical event progression. Rather than mirroring disclosed trades, it ranks cross-market convergence, tracks signal decay, and adjusts exposure across long and inverse expressions based on confidence, regime, and risk constraints.</w:t>
      </w:r>
    </w:p>
    <w:p>
      <w:pPr>
        <w:spacing w:after="140" w:before="0"/>
      </w:pPr>
      <w:r>
        <w:rPr>
          <w:rFonts w:ascii="Garamond" w:cs="Garamond" w:eastAsia="Garamond" w:hAnsi="Garamond"/>
          <w:b w:val="false"/>
          <w:bCs w:val="false"/>
          <w:i w:val="false"/>
          <w:iCs w:val="false"/>
          <w:color w:val="1A1613"/>
          <w:sz w:val="20"/>
          <w:szCs w:val="20"/>
        </w:rPr>
        <w:t xml:space="preserve">The core hypothesis is that the intersection of multiple delayed, noisy, and partially inferential data streams may produce a probabilistic edge when those streams converge independently toward the same directional signal. No single input is treated as timely alpha. The value proposition is in the convergence pattern, not any individual disclosure.</w:t>
      </w:r>
    </w:p>
    <w:p>
      <w:pPr>
        <w:spacing w:after="140" w:before="0"/>
      </w:pPr>
      <w:r>
        <w:rPr>
          <w:rFonts w:ascii="Garamond" w:cs="Garamond" w:eastAsia="Garamond" w:hAnsi="Garamond"/>
          <w:b w:val="false"/>
          <w:bCs w:val="false"/>
          <w:i w:val="false"/>
          <w:iCs w:val="false"/>
          <w:color w:val="1A1613"/>
          <w:sz w:val="20"/>
          <w:szCs w:val="20"/>
        </w:rPr>
        <w:t xml:space="preserve">AURE is designed to seek returns in both rising and falling markets by maintaining the ability to take long positions where convergence is bullish, and inverse ETF or short positions where convergence is bearish or where signal decay indicates institutional withdrawal. This is a design objective; actual performance depends on market conditions and model accuracy, and no guarantee of returns is made or implied.</w:t>
      </w:r>
    </w:p>
    <w:p>
      <w:pPr>
        <w:spacing w:after="200" w:before="0"/>
      </w:pPr>
      <w:r>
        <w:rPr>
          <w:rFonts w:ascii="Garamond" w:cs="Garamond" w:eastAsia="Garamond" w:hAnsi="Garamond"/>
          <w:b/>
          <w:bCs/>
          <w:i w:val="false"/>
          <w:iCs w:val="false"/>
          <w:color w:val="1A1613"/>
          <w:sz w:val="20"/>
          <w:szCs w:val="20"/>
        </w:rPr>
        <w:t xml:space="preserve">Primary identity: </w:t>
      </w:r>
      <w:r>
        <w:rPr>
          <w:rFonts w:ascii="Garamond" w:cs="Garamond" w:eastAsia="Garamond" w:hAnsi="Garamond"/>
          <w:b w:val="false"/>
          <w:bCs w:val="false"/>
          <w:i w:val="false"/>
          <w:iCs w:val="false"/>
          <w:color w:val="1A1613"/>
          <w:sz w:val="20"/>
          <w:szCs w:val="20"/>
        </w:rPr>
        <w:t xml:space="preserve">AURE is a research and signal-generation platform. Auto-trading functionality exists for internal validation purposes (sandbox and paper-trading environments only). The user-facing product delivers ranked signals, convergence scores, event maps, and directional hypotheses. The user retains full decision authority over execution.</w:t>
      </w:r>
    </w:p>
    <w:p>
      <w:pPr>
        <w:pStyle w:val="Heading1"/>
        <w:spacing w:after="140" w:before="0"/>
      </w:pPr>
      <w:r>
        <w:rPr>
          <w:rFonts w:ascii="Garamond" w:cs="Garamond" w:eastAsia="Garamond" w:hAnsi="Garamond"/>
          <w:b w:val="false"/>
          <w:bCs w:val="false"/>
          <w:i w:val="false"/>
          <w:iCs w:val="false"/>
          <w:color w:val="1A1613"/>
          <w:sz w:val="20"/>
          <w:szCs w:val="20"/>
        </w:rPr>
        <w:t xml:space="preserve">2. Data Limitations and Latency Discipline</w:t>
      </w:r>
    </w:p>
    <w:p>
      <w:pPr>
        <w:spacing w:after="140" w:before="0"/>
      </w:pPr>
      <w:r>
        <w:rPr>
          <w:rFonts w:ascii="Garamond" w:cs="Garamond" w:eastAsia="Garamond" w:hAnsi="Garamond"/>
          <w:b w:val="false"/>
          <w:bCs w:val="false"/>
          <w:i w:val="false"/>
          <w:iCs w:val="false"/>
          <w:color w:val="1A1613"/>
          <w:sz w:val="20"/>
          <w:szCs w:val="20"/>
        </w:rPr>
        <w:t xml:space="preserve">AURE operates with explicit acknowledgment that its core inputs are delayed, incomplete, and subject to error.</w:t>
      </w:r>
    </w:p>
    <w:p>
      <w:pPr>
        <w:pStyle w:val="Heading3"/>
        <w:spacing w:after="140" w:before="0"/>
      </w:pPr>
      <w:r>
        <w:rPr>
          <w:rFonts w:ascii="Garamond" w:cs="Garamond" w:eastAsia="Garamond" w:hAnsi="Garamond"/>
          <w:b w:val="false"/>
          <w:bCs w:val="false"/>
          <w:i w:val="false"/>
          <w:iCs w:val="false"/>
          <w:color w:val="1A1613"/>
          <w:sz w:val="20"/>
          <w:szCs w:val="20"/>
        </w:rPr>
        <w:t xml:space="preserve">Congressional Disclosures</w:t>
      </w:r>
    </w:p>
    <w:p>
      <w:pPr>
        <w:spacing w:after="140" w:before="0"/>
      </w:pPr>
      <w:r>
        <w:rPr>
          <w:rFonts w:ascii="Garamond" w:cs="Garamond" w:eastAsia="Garamond" w:hAnsi="Garamond"/>
          <w:b w:val="false"/>
          <w:bCs w:val="false"/>
          <w:i w:val="false"/>
          <w:iCs w:val="false"/>
          <w:color w:val="1A1613"/>
          <w:sz w:val="20"/>
          <w:szCs w:val="20"/>
        </w:rPr>
        <w:t xml:space="preserve">Periodic Transaction Reports (PTRs) must be filed within 30 days of notification and no later than 45 days after the transaction date.</w:t>
      </w:r>
      <w:r>
        <w:rPr>
          <w:rFonts w:ascii="Garamond" w:cs="Garamond" w:eastAsia="Garamond" w:hAnsi="Garamond"/>
          <w:b w:val="false"/>
          <w:bCs w:val="false"/>
          <w:i w:val="false"/>
          <w:iCs w:val="false"/>
          <w:color w:val="9A7B3C"/>
          <w:sz w:val="16"/>
          <w:szCs w:val="16"/>
          <w:vertAlign w:val="superscript"/>
        </w:rPr>
        <w:t xml:space="preserve">1</w:t>
      </w:r>
      <w:r>
        <w:rPr>
          <w:rFonts w:ascii="Garamond" w:cs="Garamond" w:eastAsia="Garamond" w:hAnsi="Garamond"/>
          <w:b w:val="false"/>
          <w:bCs w:val="false"/>
          <w:i w:val="false"/>
          <w:iCs w:val="false"/>
          <w:color w:val="1A1613"/>
          <w:sz w:val="20"/>
          <w:szCs w:val="20"/>
        </w:rPr>
        <w:t xml:space="preserve"> Late filings are common; penalties begin at $200 and are inconsistently enforced.</w:t>
      </w:r>
      <w:r>
        <w:rPr>
          <w:rFonts w:ascii="Garamond" w:cs="Garamond" w:eastAsia="Garamond" w:hAnsi="Garamond"/>
          <w:b w:val="false"/>
          <w:bCs w:val="false"/>
          <w:i w:val="false"/>
          <w:iCs w:val="false"/>
          <w:color w:val="9A7B3C"/>
          <w:sz w:val="16"/>
          <w:szCs w:val="16"/>
          <w:vertAlign w:val="superscript"/>
        </w:rPr>
        <w:t xml:space="preserve">2</w:t>
      </w:r>
      <w:r>
        <w:rPr>
          <w:rFonts w:ascii="Garamond" w:cs="Garamond" w:eastAsia="Garamond" w:hAnsi="Garamond"/>
          <w:b w:val="false"/>
          <w:bCs w:val="false"/>
          <w:i w:val="false"/>
          <w:iCs w:val="false"/>
          <w:color w:val="1A1613"/>
          <w:sz w:val="20"/>
          <w:szCs w:val="20"/>
        </w:rPr>
        <w:t xml:space="preserve"> This means congressional trade data is a lagging confirmation signal with an average effective delay of 15-45 days. AURE treats PTR data accordingly: it contributes to convergence scoring but is never sufficient alone to trigger a trade. The engine applies a time-decay discount: signals older than 30 days receive 50% weight; signals older than 45 days receive 25% weight.</w:t>
      </w:r>
    </w:p>
    <w:p>
      <w:pPr>
        <w:spacing w:after="140" w:before="0"/>
      </w:pPr>
      <w:r>
        <w:rPr>
          <w:rFonts w:ascii="Garamond" w:cs="Garamond" w:eastAsia="Garamond" w:hAnsi="Garamond"/>
          <w:b w:val="false"/>
          <w:bCs w:val="false"/>
          <w:i w:val="false"/>
          <w:iCs w:val="false"/>
          <w:color w:val="1A1613"/>
          <w:sz w:val="20"/>
          <w:szCs w:val="20"/>
        </w:rPr>
        <w:t xml:space="preserve">Many ETF transactions, mutual fund trades, and transactions under $1,000 are exempt from PTR reporting and may only appear on annual financial disclosures (OGE Form 278e, due May 15).</w:t>
      </w:r>
      <w:r>
        <w:rPr>
          <w:rFonts w:ascii="Garamond" w:cs="Garamond" w:eastAsia="Garamond" w:hAnsi="Garamond"/>
          <w:b w:val="false"/>
          <w:bCs w:val="false"/>
          <w:i w:val="false"/>
          <w:iCs w:val="false"/>
          <w:color w:val="9A7B3C"/>
          <w:sz w:val="16"/>
          <w:szCs w:val="16"/>
          <w:vertAlign w:val="superscript"/>
        </w:rPr>
        <w:t xml:space="preserve">3</w:t>
      </w:r>
      <w:r>
        <w:rPr>
          <w:rFonts w:ascii="Garamond" w:cs="Garamond" w:eastAsia="Garamond" w:hAnsi="Garamond"/>
          <w:b w:val="false"/>
          <w:bCs w:val="false"/>
          <w:i w:val="false"/>
          <w:iCs w:val="false"/>
          <w:color w:val="1A1613"/>
          <w:sz w:val="20"/>
          <w:szCs w:val="20"/>
        </w:rPr>
        <w:t xml:space="preserve"> This creates a structural blind spot that AURE cannot resolve without annual filings.</w:t>
      </w:r>
    </w:p>
    <w:p>
      <w:pPr>
        <w:pStyle w:val="Heading3"/>
        <w:spacing w:after="140" w:before="0"/>
      </w:pPr>
      <w:r>
        <w:rPr>
          <w:rFonts w:ascii="Garamond" w:cs="Garamond" w:eastAsia="Garamond" w:hAnsi="Garamond"/>
          <w:b w:val="false"/>
          <w:bCs w:val="false"/>
          <w:i w:val="false"/>
          <w:iCs w:val="false"/>
          <w:color w:val="1A1613"/>
          <w:sz w:val="20"/>
          <w:szCs w:val="20"/>
        </w:rPr>
        <w:t xml:space="preserve">Institutional 13F Filings</w:t>
      </w:r>
    </w:p>
    <w:p>
      <w:pPr>
        <w:spacing w:after="140" w:before="0"/>
      </w:pPr>
      <w:r>
        <w:rPr>
          <w:rFonts w:ascii="Garamond" w:cs="Garamond" w:eastAsia="Garamond" w:hAnsi="Garamond"/>
          <w:b w:val="false"/>
          <w:bCs w:val="false"/>
          <w:i w:val="false"/>
          <w:iCs w:val="false"/>
          <w:color w:val="1A1613"/>
          <w:sz w:val="20"/>
          <w:szCs w:val="20"/>
        </w:rPr>
        <w:t xml:space="preserve">SEC Form 13F is due 45 days after quarter-end.</w:t>
      </w:r>
      <w:r>
        <w:rPr>
          <w:rFonts w:ascii="Garamond" w:cs="Garamond" w:eastAsia="Garamond" w:hAnsi="Garamond"/>
          <w:b w:val="false"/>
          <w:bCs w:val="false"/>
          <w:i w:val="false"/>
          <w:iCs w:val="false"/>
          <w:color w:val="9A7B3C"/>
          <w:sz w:val="16"/>
          <w:szCs w:val="16"/>
          <w:vertAlign w:val="superscript"/>
        </w:rPr>
        <w:t xml:space="preserve">4</w:t>
      </w:r>
      <w:r>
        <w:rPr>
          <w:rFonts w:ascii="Garamond" w:cs="Garamond" w:eastAsia="Garamond" w:hAnsi="Garamond"/>
          <w:b w:val="false"/>
          <w:bCs w:val="false"/>
          <w:i w:val="false"/>
          <w:iCs w:val="false"/>
          <w:color w:val="1A1613"/>
          <w:sz w:val="20"/>
          <w:szCs w:val="20"/>
        </w:rPr>
        <w:t xml:space="preserve"> Filings disclose only long positions in US-listed 13(f) securities. Short positions, most options, foreign holdings, and sub-threshold positions are excluded. AURE uses 13F data exclusively as a quarterly strategic signal for identifying multi-quarter accumulation or distribution trends.</w:t>
      </w:r>
    </w:p>
    <w:p>
      <w:pPr>
        <w:pStyle w:val="Heading3"/>
        <w:spacing w:after="140" w:before="0"/>
      </w:pPr>
      <w:r>
        <w:rPr>
          <w:rFonts w:ascii="Garamond" w:cs="Garamond" w:eastAsia="Garamond" w:hAnsi="Garamond"/>
          <w:b w:val="false"/>
          <w:bCs w:val="false"/>
          <w:i w:val="false"/>
          <w:iCs w:val="false"/>
          <w:color w:val="1A1613"/>
          <w:sz w:val="20"/>
          <w:szCs w:val="20"/>
        </w:rPr>
        <w:t xml:space="preserve">Dark Pool and Options Flow</w:t>
      </w:r>
    </w:p>
    <w:p>
      <w:pPr>
        <w:spacing w:after="140" w:before="0"/>
      </w:pPr>
      <w:r>
        <w:rPr>
          <w:rFonts w:ascii="Garamond" w:cs="Garamond" w:eastAsia="Garamond" w:hAnsi="Garamond"/>
          <w:b w:val="false"/>
          <w:bCs w:val="false"/>
          <w:i w:val="false"/>
          <w:iCs w:val="false"/>
          <w:color w:val="1A1613"/>
          <w:sz w:val="20"/>
          <w:szCs w:val="20"/>
        </w:rPr>
        <w:t xml:space="preserve">Dark pool prints are reported to FINRA with variable latency. Buyer/seller intent cannot be reliably determined from a single print. Options flow is reported via OPRA in near-real-time but distinguishing hedging from directional activity requires heuristic filtering that produces false positives. AURE weights these channels at 11% and 9% respectively, reflecting timeliness advantage and noise disadvantage.</w:t>
      </w:r>
    </w:p>
    <w:p>
      <w:pPr>
        <w:pStyle w:val="Heading3"/>
        <w:spacing w:after="140" w:before="0"/>
      </w:pPr>
      <w:r>
        <w:rPr>
          <w:rFonts w:ascii="Garamond" w:cs="Garamond" w:eastAsia="Garamond" w:hAnsi="Garamond"/>
          <w:b w:val="false"/>
          <w:bCs w:val="false"/>
          <w:i w:val="false"/>
          <w:iCs w:val="false"/>
          <w:color w:val="1A1613"/>
          <w:sz w:val="20"/>
          <w:szCs w:val="20"/>
        </w:rPr>
        <w:t xml:space="preserve">News Sentiment</w:t>
      </w:r>
    </w:p>
    <w:p>
      <w:pPr>
        <w:spacing w:after="200" w:before="0"/>
      </w:pPr>
      <w:r>
        <w:rPr>
          <w:rFonts w:ascii="Garamond" w:cs="Garamond" w:eastAsia="Garamond" w:hAnsi="Garamond"/>
          <w:b w:val="false"/>
          <w:bCs w:val="false"/>
          <w:i w:val="false"/>
          <w:iCs w:val="false"/>
          <w:color w:val="1A1613"/>
          <w:sz w:val="20"/>
          <w:szCs w:val="20"/>
        </w:rPr>
        <w:t xml:space="preserve">NLP-scored sentiment is subject to sarcasm misclassification, headline-body disagreement, and source credibility variation. AURE uses it as contextual input (7% weight) and does not permit it to override convergence from structured data channels.</w:t>
      </w:r>
    </w:p>
    <w:p>
      <w:pPr>
        <w:pStyle w:val="Heading1"/>
        <w:spacing w:after="140" w:before="0"/>
      </w:pPr>
      <w:r>
        <w:rPr>
          <w:rFonts w:ascii="Garamond" w:cs="Garamond" w:eastAsia="Garamond" w:hAnsi="Garamond"/>
          <w:b w:val="false"/>
          <w:bCs w:val="false"/>
          <w:i w:val="false"/>
          <w:iCs w:val="false"/>
          <w:color w:val="1A1613"/>
          <w:sz w:val="20"/>
          <w:szCs w:val="20"/>
        </w:rPr>
        <w:t xml:space="preserve">3. Signal Methodology and Scoring Formula</w:t>
      </w:r>
    </w:p>
    <w:p>
      <w:pPr>
        <w:pStyle w:val="Heading2"/>
        <w:spacing w:after="140" w:before="0"/>
      </w:pPr>
      <w:r>
        <w:rPr>
          <w:rFonts w:ascii="Garamond" w:cs="Garamond" w:eastAsia="Garamond" w:hAnsi="Garamond"/>
          <w:b w:val="false"/>
          <w:bCs w:val="false"/>
          <w:i w:val="false"/>
          <w:iCs w:val="false"/>
          <w:color w:val="1A1613"/>
          <w:sz w:val="20"/>
          <w:szCs w:val="20"/>
        </w:rPr>
        <w:t xml:space="preserve">Convergence Score Computation</w:t>
      </w:r>
    </w:p>
    <w:p>
      <w:pPr>
        <w:spacing w:after="140" w:before="0"/>
      </w:pPr>
      <w:r>
        <w:rPr>
          <w:rFonts w:ascii="Garamond" w:cs="Garamond" w:eastAsia="Garamond" w:hAnsi="Garamond"/>
          <w:b w:val="false"/>
          <w:bCs w:val="false"/>
          <w:i w:val="false"/>
          <w:iCs w:val="false"/>
          <w:color w:val="1A1613"/>
          <w:sz w:val="20"/>
          <w:szCs w:val="20"/>
        </w:rPr>
        <w:t xml:space="preserve">For each tracked security S at time t, AURE computes a directional convergence score as follows:</w:t>
      </w:r>
    </w:p>
    <w:p>
      <w:pPr>
        <w:spacing w:after="120" w:before="80"/>
        <w:jc w:val="center"/>
      </w:pPr>
      <w:r>
        <w:rPr>
          <w:rFonts w:ascii="Garamond" w:cs="Garamond" w:eastAsia="Garamond" w:hAnsi="Garamond"/>
          <w:b/>
          <w:bCs/>
          <w:i w:val="false"/>
          <w:iCs w:val="false"/>
          <w:color w:val="1A1613"/>
          <w:sz w:val="19"/>
          <w:szCs w:val="19"/>
        </w:rPr>
        <w:t xml:space="preserve">Score(S, t, direction) = R(regime) * Σ[i=1..10] ( w_i * normalize(signal_i(S, t, direction)) )</w:t>
      </w:r>
    </w:p>
    <w:p>
      <w:pPr>
        <w:spacing w:after="60" w:before="0"/>
      </w:pPr>
      <w:r>
        <w:rPr>
          <w:rFonts w:ascii="Garamond" w:cs="Garamond" w:eastAsia="Garamond" w:hAnsi="Garamond"/>
          <w:b w:val="false"/>
          <w:bCs w:val="false"/>
          <w:i w:val="false"/>
          <w:iCs w:val="false"/>
          <w:color w:val="1A1613"/>
          <w:sz w:val="20"/>
          <w:szCs w:val="20"/>
        </w:rPr>
        <w:t xml:space="preserve">Where:</w:t>
      </w:r>
    </w:p>
    <w:p>
      <w:pPr>
        <w:spacing w:after="40" w:before="0"/>
        <w:ind w:left="360"/>
      </w:pPr>
      <w:r>
        <w:rPr>
          <w:rFonts w:ascii="Garamond" w:cs="Garamond" w:eastAsia="Garamond" w:hAnsi="Garamond"/>
          <w:b w:val="false"/>
          <w:bCs w:val="false"/>
          <w:i w:val="false"/>
          <w:iCs w:val="false"/>
          <w:color w:val="1A1613"/>
          <w:sz w:val="20"/>
          <w:szCs w:val="20"/>
        </w:rPr>
        <w:t xml:space="preserve">w_i = adaptive weight for signal channel i, constrained to [0.02, 0.30], summing to 1.0</w:t>
      </w:r>
    </w:p>
    <w:p>
      <w:pPr>
        <w:spacing w:after="40" w:before="0"/>
        <w:ind w:left="360"/>
      </w:pPr>
      <w:r>
        <w:rPr>
          <w:rFonts w:ascii="Garamond" w:cs="Garamond" w:eastAsia="Garamond" w:hAnsi="Garamond"/>
          <w:b w:val="false"/>
          <w:bCs w:val="false"/>
          <w:i w:val="false"/>
          <w:iCs w:val="false"/>
          <w:color w:val="1A1613"/>
          <w:sz w:val="20"/>
          <w:szCs w:val="20"/>
        </w:rPr>
        <w:t xml:space="preserve">R(regime) = regime scaling factor: Steady=1.0, Turbulent=0.82, Crisis=0.60</w:t>
      </w:r>
    </w:p>
    <w:p>
      <w:pPr>
        <w:spacing w:after="80" w:before="0"/>
        <w:ind w:left="360"/>
      </w:pPr>
      <w:r>
        <w:rPr>
          <w:rFonts w:ascii="Garamond" w:cs="Garamond" w:eastAsia="Garamond" w:hAnsi="Garamond"/>
          <w:b w:val="false"/>
          <w:bCs w:val="false"/>
          <w:i w:val="false"/>
          <w:iCs w:val="false"/>
          <w:color w:val="1A1613"/>
          <w:sz w:val="20"/>
          <w:szCs w:val="20"/>
        </w:rPr>
        <w:t xml:space="preserve">direction ∈ {bullish, bearish}</w:t>
      </w:r>
    </w:p>
    <w:p>
      <w:pPr>
        <w:pStyle w:val="Heading3"/>
        <w:spacing w:after="140" w:before="0"/>
      </w:pPr>
      <w:r>
        <w:rPr>
          <w:rFonts w:ascii="Garamond" w:cs="Garamond" w:eastAsia="Garamond" w:hAnsi="Garamond"/>
          <w:b w:val="false"/>
          <w:bCs w:val="false"/>
          <w:i w:val="false"/>
          <w:iCs w:val="false"/>
          <w:color w:val="1A1613"/>
          <w:sz w:val="20"/>
          <w:szCs w:val="20"/>
        </w:rPr>
        <w:t xml:space="preserve">Per-Channel Normalization</w:t>
      </w:r>
    </w:p>
    <w:p>
      <w:pPr>
        <w:spacing w:after="140" w:before="0"/>
      </w:pPr>
      <w:r>
        <w:rPr>
          <w:rFonts w:ascii="Garamond" w:cs="Garamond" w:eastAsia="Garamond" w:hAnsi="Garamond"/>
          <w:b w:val="false"/>
          <w:bCs w:val="false"/>
          <w:i w:val="false"/>
          <w:iCs w:val="false"/>
          <w:color w:val="1A1613"/>
          <w:sz w:val="20"/>
          <w:szCs w:val="20"/>
        </w:rPr>
        <w:t xml:space="preserve">Each signal channel produces a raw value that is normalized to a 0-100 scale using bounded heuristic scoring specific to that channel. The normalization method for each channel is:</w:t>
      </w:r>
    </w:p>
    <w:p>
      <w:pPr>
        <w:spacing w:after="80" w:before="0"/>
      </w:pPr>
      <w:r>
        <w:rPr>
          <w:rFonts w:ascii="Garamond" w:cs="Garamond" w:eastAsia="Garamond" w:hAnsi="Garamond"/>
          <w:b/>
          <w:bCs/>
          <w:i w:val="false"/>
          <w:iCs w:val="false"/>
          <w:color w:val="1A1613"/>
          <w:sz w:val="20"/>
          <w:szCs w:val="20"/>
        </w:rPr>
        <w:t xml:space="preserve">Congressional Direct: </w:t>
      </w:r>
      <w:r>
        <w:rPr>
          <w:rFonts w:ascii="Garamond" w:cs="Garamond" w:eastAsia="Garamond" w:hAnsi="Garamond"/>
          <w:b w:val="false"/>
          <w:bCs w:val="false"/>
          <w:i w:val="false"/>
          <w:iCs w:val="false"/>
          <w:color w:val="1A1613"/>
          <w:sz w:val="20"/>
          <w:szCs w:val="20"/>
        </w:rPr>
        <w:t xml:space="preserve">Count of trades in symbol S by tracked members within the trailing 45-day window, weighted by: (a) member tier score (committee relevance to sector), (b) filing delay discount (1.0 if &lt;15 days, 0.75 if 15-30 days, 0.50 if 30-45 days, 0.25 if &gt;45 days), (c) trade size bracket (ordinal 1-8 from STOCK Act ranges). Raw score capped at 100 and floor at 0. For bearish direction, Sale transactions contribute positively and Purchase transactions contribute negatively.</w:t>
      </w:r>
    </w:p>
    <w:p>
      <w:pPr>
        <w:spacing w:after="80" w:before="0"/>
      </w:pPr>
      <w:r>
        <w:rPr>
          <w:rFonts w:ascii="Garamond" w:cs="Garamond" w:eastAsia="Garamond" w:hAnsi="Garamond"/>
          <w:b/>
          <w:bCs/>
          <w:i w:val="false"/>
          <w:iCs w:val="false"/>
          <w:color w:val="1A1613"/>
          <w:sz w:val="20"/>
          <w:szCs w:val="20"/>
        </w:rPr>
        <w:t xml:space="preserve">Shadow Network: </w:t>
      </w:r>
      <w:r>
        <w:rPr>
          <w:rFonts w:ascii="Garamond" w:cs="Garamond" w:eastAsia="Garamond" w:hAnsi="Garamond"/>
          <w:b w:val="false"/>
          <w:bCs w:val="false"/>
          <w:i w:val="false"/>
          <w:iCs w:val="false"/>
          <w:color w:val="1A1613"/>
          <w:sz w:val="20"/>
          <w:szCs w:val="20"/>
        </w:rPr>
        <w:t xml:space="preserve">Same structure as Congressional Direct but applied to Tier 1-3 affiliated entities, with each entity's contribution multiplied by its confidence score (0.0-1.0). A Tier 3 entity at 0.38 confidence contributes 38% of the weight of a verified Tier 1 entity.</w:t>
      </w:r>
    </w:p>
    <w:p>
      <w:pPr>
        <w:spacing w:after="80" w:before="0"/>
      </w:pPr>
      <w:r>
        <w:rPr>
          <w:rFonts w:ascii="Garamond" w:cs="Garamond" w:eastAsia="Garamond" w:hAnsi="Garamond"/>
          <w:b/>
          <w:bCs/>
          <w:i w:val="false"/>
          <w:iCs w:val="false"/>
          <w:color w:val="1A1613"/>
          <w:sz w:val="20"/>
          <w:szCs w:val="20"/>
        </w:rPr>
        <w:t xml:space="preserve">Institutional 13F: </w:t>
      </w:r>
      <w:r>
        <w:rPr>
          <w:rFonts w:ascii="Garamond" w:cs="Garamond" w:eastAsia="Garamond" w:hAnsi="Garamond"/>
          <w:b w:val="false"/>
          <w:bCs w:val="false"/>
          <w:i w:val="false"/>
          <w:iCs w:val="false"/>
          <w:color w:val="1A1613"/>
          <w:sz w:val="20"/>
          <w:szCs w:val="20"/>
        </w:rPr>
        <w:t xml:space="preserve">Quarter-over-quarter percentage change in shares held by tracked institutions, aggregated across all filers holding symbol S. Percentile-ranked against all tracked symbols to produce 0-100 score. Top decile of accumulation = 90-100; bottom decile = 0-10.</w:t>
      </w:r>
    </w:p>
    <w:p>
      <w:pPr>
        <w:spacing w:after="80" w:before="0"/>
      </w:pPr>
      <w:r>
        <w:rPr>
          <w:rFonts w:ascii="Garamond" w:cs="Garamond" w:eastAsia="Garamond" w:hAnsi="Garamond"/>
          <w:b/>
          <w:bCs/>
          <w:i w:val="false"/>
          <w:iCs w:val="false"/>
          <w:color w:val="1A1613"/>
          <w:sz w:val="20"/>
          <w:szCs w:val="20"/>
        </w:rPr>
        <w:t xml:space="preserve">Dark Pool: </w:t>
      </w:r>
      <w:r>
        <w:rPr>
          <w:rFonts w:ascii="Garamond" w:cs="Garamond" w:eastAsia="Garamond" w:hAnsi="Garamond"/>
          <w:b w:val="false"/>
          <w:bCs w:val="false"/>
          <w:i w:val="false"/>
          <w:iCs w:val="false"/>
          <w:color w:val="1A1613"/>
          <w:sz w:val="20"/>
          <w:szCs w:val="20"/>
        </w:rPr>
        <w:t xml:space="preserve">Trailing 5-day aggregated print volume for symbol S, weighted by notional significance (prints &gt;$10M receive 2x weight) and VWAP-relative positioning (above VWAP = bullish contribution, below = bearish). Percentile-ranked against trailing 30-day baseline for the same symbol.</w:t>
      </w:r>
    </w:p>
    <w:p>
      <w:pPr>
        <w:spacing w:after="80" w:before="0"/>
      </w:pPr>
      <w:r>
        <w:rPr>
          <w:rFonts w:ascii="Garamond" w:cs="Garamond" w:eastAsia="Garamond" w:hAnsi="Garamond"/>
          <w:b/>
          <w:bCs/>
          <w:i w:val="false"/>
          <w:iCs w:val="false"/>
          <w:color w:val="1A1613"/>
          <w:sz w:val="20"/>
          <w:szCs w:val="20"/>
        </w:rPr>
        <w:t xml:space="preserve">Options Flow: </w:t>
      </w:r>
      <w:r>
        <w:rPr>
          <w:rFonts w:ascii="Garamond" w:cs="Garamond" w:eastAsia="Garamond" w:hAnsi="Garamond"/>
          <w:b w:val="false"/>
          <w:bCs w:val="false"/>
          <w:i w:val="false"/>
          <w:iCs w:val="false"/>
          <w:color w:val="1A1613"/>
          <w:sz w:val="20"/>
          <w:szCs w:val="20"/>
        </w:rPr>
        <w:t xml:space="preserve">Net premium of at-ask call sweeps minus at-bid put sweeps for symbol S in trailing 5 days, normalized by the symbol's trailing 30-day average daily options premium. Positive net = bullish contribution; negative = bearish.</w:t>
      </w:r>
    </w:p>
    <w:p>
      <w:pPr>
        <w:spacing w:after="80" w:before="0"/>
      </w:pPr>
      <w:r>
        <w:rPr>
          <w:rFonts w:ascii="Garamond" w:cs="Garamond" w:eastAsia="Garamond" w:hAnsi="Garamond"/>
          <w:b/>
          <w:bCs/>
          <w:i w:val="false"/>
          <w:iCs w:val="false"/>
          <w:color w:val="1A1613"/>
          <w:sz w:val="20"/>
          <w:szCs w:val="20"/>
        </w:rPr>
        <w:t xml:space="preserve">Committee Timing: </w:t>
      </w:r>
      <w:r>
        <w:rPr>
          <w:rFonts w:ascii="Garamond" w:cs="Garamond" w:eastAsia="Garamond" w:hAnsi="Garamond"/>
          <w:b w:val="false"/>
          <w:bCs w:val="false"/>
          <w:i w:val="false"/>
          <w:iCs w:val="false"/>
          <w:color w:val="1A1613"/>
          <w:sz w:val="20"/>
          <w:szCs w:val="20"/>
        </w:rPr>
        <w:t xml:space="preserve">Binary scoring: if any member whose committee assignment maps to symbol S's sector has traded S within 14 days of a scheduled committee hearing related to that sector, score = 80. If traded within 30 days, score = 50. Otherwise score = 20. Hearing schedule sourced from congress.gov.</w:t>
      </w:r>
    </w:p>
    <w:p>
      <w:pPr>
        <w:spacing w:after="80" w:before="0"/>
      </w:pPr>
      <w:r>
        <w:rPr>
          <w:rFonts w:ascii="Garamond" w:cs="Garamond" w:eastAsia="Garamond" w:hAnsi="Garamond"/>
          <w:b/>
          <w:bCs/>
          <w:i w:val="false"/>
          <w:iCs w:val="false"/>
          <w:color w:val="1A1613"/>
          <w:sz w:val="20"/>
          <w:szCs w:val="20"/>
        </w:rPr>
        <w:t xml:space="preserve">Signal Decay: </w:t>
      </w:r>
      <w:r>
        <w:rPr>
          <w:rFonts w:ascii="Garamond" w:cs="Garamond" w:eastAsia="Garamond" w:hAnsi="Garamond"/>
          <w:b w:val="false"/>
          <w:bCs w:val="false"/>
          <w:i w:val="false"/>
          <w:iCs w:val="false"/>
          <w:color w:val="1A1613"/>
          <w:sz w:val="20"/>
          <w:szCs w:val="20"/>
        </w:rPr>
        <w:t xml:space="preserve">Ratio of trailing-14-day activity to prior-14-day activity for symbol S across all congressional and shadow channels. Computed as: (recent_buys - prior_buys) / max(prior_buys, 1). Values below -0.5 trigger BUY_DECAY classification (score 75 for bearish). SELL_SURGE, SILENCE, and REVERSAL classifications follow analogous thresholds.</w:t>
      </w:r>
    </w:p>
    <w:p>
      <w:pPr>
        <w:spacing w:after="80" w:before="0"/>
      </w:pPr>
      <w:r>
        <w:rPr>
          <w:rFonts w:ascii="Garamond" w:cs="Garamond" w:eastAsia="Garamond" w:hAnsi="Garamond"/>
          <w:b/>
          <w:bCs/>
          <w:i w:val="false"/>
          <w:iCs w:val="false"/>
          <w:color w:val="1A1613"/>
          <w:sz w:val="20"/>
          <w:szCs w:val="20"/>
        </w:rPr>
        <w:t xml:space="preserve">Event Lifecycle: </w:t>
      </w:r>
      <w:r>
        <w:rPr>
          <w:rFonts w:ascii="Garamond" w:cs="Garamond" w:eastAsia="Garamond" w:hAnsi="Garamond"/>
          <w:b w:val="false"/>
          <w:bCs w:val="false"/>
          <w:i w:val="false"/>
          <w:iCs w:val="false"/>
          <w:color w:val="1A1613"/>
          <w:sz w:val="20"/>
          <w:szCs w:val="20"/>
        </w:rPr>
        <w:t xml:space="preserve">Score mapped from phase assignment of the most relevant active event affecting symbol S's sector. Emerging/Escalation = 70-80 (bullish) or 20-30 (bearish depending on event type). Peak = 50 (neutral, high uncertainty). De-escalation/Resolution = inverse of early phases.</w:t>
      </w:r>
    </w:p>
    <w:p>
      <w:pPr>
        <w:spacing w:after="140" w:before="0"/>
      </w:pPr>
      <w:r>
        <w:rPr>
          <w:rFonts w:ascii="Garamond" w:cs="Garamond" w:eastAsia="Garamond" w:hAnsi="Garamond"/>
          <w:b/>
          <w:bCs/>
          <w:i w:val="false"/>
          <w:iCs w:val="false"/>
          <w:color w:val="1A1613"/>
          <w:sz w:val="20"/>
          <w:szCs w:val="20"/>
        </w:rPr>
        <w:t xml:space="preserve">News Sentiment and Sector Momentum: </w:t>
      </w:r>
      <w:r>
        <w:rPr>
          <w:rFonts w:ascii="Garamond" w:cs="Garamond" w:eastAsia="Garamond" w:hAnsi="Garamond"/>
          <w:b w:val="false"/>
          <w:bCs w:val="false"/>
          <w:i w:val="false"/>
          <w:iCs w:val="false"/>
          <w:color w:val="1A1613"/>
          <w:sz w:val="20"/>
          <w:szCs w:val="20"/>
        </w:rPr>
        <w:t xml:space="preserve">Third-party NLP scores (Finnhub/Alpha Vantage) averaged and rescaled to 0-100. Sector momentum is the net convergence of all other signals across all symbols in the sector, providing a sector-level confirmation or contradiction.</w:t>
      </w:r>
    </w:p>
    <w:p>
      <w:pPr>
        <w:pStyle w:val="Heading3"/>
        <w:spacing w:after="140" w:before="0"/>
      </w:pPr>
      <w:r>
        <w:rPr>
          <w:rFonts w:ascii="Garamond" w:cs="Garamond" w:eastAsia="Garamond" w:hAnsi="Garamond"/>
          <w:b w:val="false"/>
          <w:bCs w:val="false"/>
          <w:i w:val="false"/>
          <w:iCs w:val="false"/>
          <w:color w:val="1A1613"/>
          <w:sz w:val="20"/>
          <w:szCs w:val="20"/>
        </w:rPr>
        <w:t xml:space="preserve">Decision Logic</w:t>
      </w:r>
    </w:p>
    <w:p>
      <w:pPr>
        <w:spacing w:after="140" w:before="0"/>
      </w:pPr>
      <w:r>
        <w:rPr>
          <w:rFonts w:ascii="Garamond" w:cs="Garamond" w:eastAsia="Garamond" w:hAnsi="Garamond"/>
          <w:b w:val="false"/>
          <w:bCs w:val="false"/>
          <w:i w:val="false"/>
          <w:iCs w:val="false"/>
          <w:color w:val="1A1613"/>
          <w:sz w:val="20"/>
          <w:szCs w:val="20"/>
        </w:rPr>
        <w:t xml:space="preserve">bull = Score(S, t, bullish); bear = Score(S, t, bearish); net = bull - bear. If net &gt; 30 and bull &gt; 72: LONG. If net &gt; 15 and bull &gt; 58 and no existing long: LONG (small). If net &lt; -30 and bear &gt; 72: INVERSE or SHORT. If net &lt; -15 and bear &gt; 58: INVERSE (small) or SHORT (small). If net &lt; -10 and existing long: EXIT. If net &gt; 10 and existing short: COVER. Otherwise: OBSERVE. The system is designed to spend significant time in OBSERVE state.</w:t>
      </w:r>
    </w:p>
    <w:p>
      <w:pPr>
        <w:pStyle w:val="Heading2"/>
        <w:spacing w:after="140" w:before="0"/>
      </w:pPr>
      <w:r>
        <w:rPr>
          <w:rFonts w:ascii="Garamond" w:cs="Garamond" w:eastAsia="Garamond" w:hAnsi="Garamond"/>
          <w:b w:val="false"/>
          <w:bCs w:val="false"/>
          <w:i w:val="false"/>
          <w:iCs w:val="false"/>
          <w:color w:val="1A1613"/>
          <w:sz w:val="20"/>
          <w:szCs w:val="20"/>
        </w:rPr>
        <w:t xml:space="preserve">Accuracy Definition</w:t>
      </w:r>
    </w:p>
    <w:p>
      <w:pPr>
        <w:spacing w:after="200" w:before="0"/>
      </w:pPr>
      <w:r>
        <w:rPr>
          <w:rFonts w:ascii="Garamond" w:cs="Garamond" w:eastAsia="Garamond" w:hAnsi="Garamond"/>
          <w:b/>
          <w:bCs/>
          <w:i w:val="false"/>
          <w:iCs w:val="false"/>
          <w:color w:val="1A1613"/>
          <w:sz w:val="20"/>
          <w:szCs w:val="20"/>
        </w:rPr>
        <w:t xml:space="preserve">Signal accuracy is defined as whether the predicted direction outperformed the opposite directional hypothesis over the model's standard evaluation horizon of five trading days after signal issuance, net of assumed 0.05% slippage per trade.</w:t>
      </w:r>
      <w:r>
        <w:rPr>
          <w:rFonts w:ascii="Garamond" w:cs="Garamond" w:eastAsia="Garamond" w:hAnsi="Garamond"/>
          <w:b w:val="false"/>
          <w:bCs w:val="false"/>
          <w:i w:val="false"/>
          <w:iCs w:val="false"/>
          <w:color w:val="1A1613"/>
          <w:sz w:val="20"/>
          <w:szCs w:val="20"/>
        </w:rPr>
        <w:t xml:space="preserve"> Specifically: a LONG signal is correct if the security's 5-day forward return (close-to-close, adjusted for dividends and splits) exceeds 0% net of slippage. An INVERSE/SHORT signal is correct if the 5-day forward return is negative (i.e., the inverse position would have been profitable). OBSERVE signals are excluded from accuracy calculation. This definition is applied uniformly across all signal channels when computing per-channel accuracy for recalibration purposes.</w:t>
      </w:r>
    </w:p>
    <w:p>
      <w:r>
        <w:br w:type="page"/>
      </w:r>
    </w:p>
    <w:p>
      <w:pPr>
        <w:pStyle w:val="Heading1"/>
        <w:spacing w:after="140" w:before="0"/>
      </w:pPr>
      <w:r>
        <w:rPr>
          <w:rFonts w:ascii="Garamond" w:cs="Garamond" w:eastAsia="Garamond" w:hAnsi="Garamond"/>
          <w:b w:val="false"/>
          <w:bCs w:val="false"/>
          <w:i w:val="false"/>
          <w:iCs w:val="false"/>
          <w:color w:val="1A1613"/>
          <w:sz w:val="20"/>
          <w:szCs w:val="20"/>
        </w:rPr>
        <w:t xml:space="preserve">4. Shadow Network: Methodology, Boundaries, and Lawful Data Use</w:t>
      </w:r>
    </w:p>
    <w:p>
      <w:pPr>
        <w:spacing w:after="140" w:before="0"/>
      </w:pPr>
      <w:r>
        <w:rPr>
          <w:rFonts w:ascii="Garamond" w:cs="Garamond" w:eastAsia="Garamond" w:hAnsi="Garamond"/>
          <w:b w:val="false"/>
          <w:bCs w:val="false"/>
          <w:i w:val="false"/>
          <w:iCs w:val="false"/>
          <w:color w:val="1A1613"/>
          <w:sz w:val="20"/>
          <w:szCs w:val="20"/>
        </w:rPr>
        <w:t xml:space="preserve">The shadow network layer attempts to identify trading activity affiliated with members of Congress beyond their direct PTR filings. This section documents the methodology, confidence scoring, provenance rules, the explicit boundary between verified linkage and inference, and the lawful data constraints governing this analysis.</w:t>
      </w:r>
    </w:p>
    <w:p>
      <w:pPr>
        <w:pStyle w:val="Heading3"/>
        <w:spacing w:after="140" w:before="0"/>
      </w:pPr>
      <w:r>
        <w:rPr>
          <w:rFonts w:ascii="Garamond" w:cs="Garamond" w:eastAsia="Garamond" w:hAnsi="Garamond"/>
          <w:b w:val="false"/>
          <w:bCs w:val="false"/>
          <w:i w:val="false"/>
          <w:iCs w:val="false"/>
          <w:color w:val="1A1613"/>
          <w:sz w:val="20"/>
          <w:szCs w:val="20"/>
        </w:rPr>
        <w:t xml:space="preserve">Lawful Data Boundaries</w:t>
      </w:r>
    </w:p>
    <w:p>
      <w:pPr>
        <w:spacing w:after="140" w:before="0"/>
      </w:pPr>
      <w:r>
        <w:rPr>
          <w:rFonts w:ascii="Garamond" w:cs="Garamond" w:eastAsia="Garamond" w:hAnsi="Garamond"/>
          <w:b/>
          <w:bCs/>
          <w:i w:val="false"/>
          <w:iCs w:val="false"/>
          <w:color w:val="1A1613"/>
          <w:sz w:val="20"/>
          <w:szCs w:val="20"/>
        </w:rPr>
        <w:t xml:space="preserve">All shadow network analysis is conducted exclusively using public records: STOCK Act PTR filings, OGE 278e annual disclosures, state Secretary of State corporate registration databases, county property records, FEC campaign finance disclosures, and SEC EDGAR filings. </w:t>
      </w:r>
      <w:r>
        <w:rPr>
          <w:rFonts w:ascii="Garamond" w:cs="Garamond" w:eastAsia="Garamond" w:hAnsi="Garamond"/>
          <w:b w:val="false"/>
          <w:bCs w:val="false"/>
          <w:i w:val="false"/>
          <w:iCs w:val="false"/>
          <w:color w:val="1A1613"/>
          <w:sz w:val="20"/>
          <w:szCs w:val="20"/>
        </w:rPr>
        <w:t xml:space="preserve">AURE does not access, purchase, or infer from nonpublic personal data, consumer data enrichment services, brokerage account records, private financial statements, or any data source requiring consent or authorization to access. No claim of beneficial ownership is made absent documentary support from public filings. The system does not surveil individuals; it cross-references existing public disclosures.</w:t>
      </w:r>
    </w:p>
    <w:p>
      <w:pPr>
        <w:pStyle w:val="Heading3"/>
        <w:spacing w:after="140" w:before="0"/>
      </w:pPr>
      <w:r>
        <w:rPr>
          <w:rFonts w:ascii="Garamond" w:cs="Garamond" w:eastAsia="Garamond" w:hAnsi="Garamond"/>
          <w:b w:val="false"/>
          <w:bCs w:val="false"/>
          <w:i w:val="false"/>
          <w:iCs w:val="false"/>
          <w:color w:val="1A1613"/>
          <w:sz w:val="20"/>
          <w:szCs w:val="20"/>
        </w:rPr>
        <w:t xml:space="preserve">Tier 1: Verified Affiliates (80-100%)</w:t>
      </w:r>
    </w:p>
    <w:p>
      <w:pPr>
        <w:spacing w:after="140" w:before="0"/>
      </w:pPr>
      <w:r>
        <w:rPr>
          <w:rFonts w:ascii="Garamond" w:cs="Garamond" w:eastAsia="Garamond" w:hAnsi="Garamond"/>
          <w:b w:val="false"/>
          <w:bCs w:val="false"/>
          <w:i w:val="false"/>
          <w:iCs w:val="false"/>
          <w:color w:val="1A1613"/>
          <w:sz w:val="20"/>
          <w:szCs w:val="20"/>
        </w:rPr>
        <w:t xml:space="preserve">Source: STOCK Act PTR filings designating spousal (SP) or dependent (DC) transactions. Named trusts and joint accounts identified from filing instruments. Confidence reflects directness of documentary link, not probability estimate.</w:t>
      </w:r>
    </w:p>
    <w:p>
      <w:pPr>
        <w:pStyle w:val="Heading3"/>
        <w:spacing w:after="140" w:before="0"/>
      </w:pPr>
      <w:r>
        <w:rPr>
          <w:rFonts w:ascii="Garamond" w:cs="Garamond" w:eastAsia="Garamond" w:hAnsi="Garamond"/>
          <w:b w:val="false"/>
          <w:bCs w:val="false"/>
          <w:i w:val="false"/>
          <w:iCs w:val="false"/>
          <w:color w:val="1A1613"/>
          <w:sz w:val="20"/>
          <w:szCs w:val="20"/>
        </w:rPr>
        <w:t xml:space="preserve">Tier 2: Investigative Links (50-80%)</w:t>
      </w:r>
    </w:p>
    <w:p>
      <w:pPr>
        <w:spacing w:after="140" w:before="0"/>
      </w:pPr>
      <w:r>
        <w:rPr>
          <w:rFonts w:ascii="Garamond" w:cs="Garamond" w:eastAsia="Garamond" w:hAnsi="Garamond"/>
          <w:b w:val="false"/>
          <w:bCs w:val="false"/>
          <w:i w:val="false"/>
          <w:iCs w:val="false"/>
          <w:color w:val="1A1613"/>
          <w:sz w:val="20"/>
          <w:szCs w:val="20"/>
        </w:rPr>
        <w:t xml:space="preserve">Source: Cross-referencing OGE 278e disclosures with state corporate registrations, property records, and FEC filings. Family office LP structures identified when annual disclosures name a limited partnership and state records confirm member or immediate family as general partner or registered agent. Financial advisor timing correlation computed by identifying statistically unusual trade clustering across members sharing a disclosed common advisor. These are inferences, not verified facts. Confidence reflects documentary chain strength.</w:t>
      </w:r>
    </w:p>
    <w:p>
      <w:pPr>
        <w:pStyle w:val="Heading3"/>
        <w:spacing w:after="140" w:before="0"/>
      </w:pPr>
      <w:r>
        <w:rPr>
          <w:rFonts w:ascii="Garamond" w:cs="Garamond" w:eastAsia="Garamond" w:hAnsi="Garamond"/>
          <w:b w:val="false"/>
          <w:bCs w:val="false"/>
          <w:i w:val="false"/>
          <w:iCs w:val="false"/>
          <w:color w:val="1A1613"/>
          <w:sz w:val="20"/>
          <w:szCs w:val="20"/>
        </w:rPr>
        <w:t xml:space="preserve">Tier 3: Suspected Entities (Below 50%)</w:t>
      </w:r>
    </w:p>
    <w:p>
      <w:pPr>
        <w:spacing w:after="140" w:before="0"/>
      </w:pPr>
      <w:r>
        <w:rPr>
          <w:rFonts w:ascii="Garamond" w:cs="Garamond" w:eastAsia="Garamond" w:hAnsi="Garamond"/>
          <w:b w:val="false"/>
          <w:bCs w:val="false"/>
          <w:i w:val="false"/>
          <w:iCs w:val="false"/>
          <w:color w:val="1A1613"/>
          <w:sz w:val="20"/>
          <w:szCs w:val="20"/>
        </w:rPr>
        <w:t xml:space="preserve">Source: Pattern analysis across state LLC registrations, registered agent addresses, and entity formation timing. </w:t>
      </w:r>
      <w:r>
        <w:rPr>
          <w:rFonts w:ascii="Garamond" w:cs="Garamond" w:eastAsia="Garamond" w:hAnsi="Garamond"/>
          <w:b/>
          <w:bCs/>
          <w:i w:val="false"/>
          <w:iCs w:val="false"/>
          <w:color w:val="1A1613"/>
          <w:sz w:val="20"/>
          <w:szCs w:val="20"/>
        </w:rPr>
        <w:t xml:space="preserve">Tier 3 signals never trigger trades independently.</w:t>
      </w:r>
      <w:r>
        <w:rPr>
          <w:rFonts w:ascii="Garamond" w:cs="Garamond" w:eastAsia="Garamond" w:hAnsi="Garamond"/>
          <w:b w:val="false"/>
          <w:bCs w:val="false"/>
          <w:i w:val="false"/>
          <w:iCs w:val="false"/>
          <w:color w:val="1A1613"/>
          <w:sz w:val="20"/>
          <w:szCs w:val="20"/>
        </w:rPr>
        <w:t xml:space="preserve"> They contribute only when corroborated by Tier 1 or 2 evidence on the same security within a 30-day window. Estimated false positive rate: 40-60% based on internal backtesting against subsequent disclosures.</w:t>
      </w:r>
    </w:p>
    <w:p>
      <w:pPr>
        <w:pStyle w:val="Heading3"/>
        <w:spacing w:after="140" w:before="0"/>
      </w:pPr>
      <w:r>
        <w:rPr>
          <w:rFonts w:ascii="Garamond" w:cs="Garamond" w:eastAsia="Garamond" w:hAnsi="Garamond"/>
          <w:b w:val="false"/>
          <w:bCs w:val="false"/>
          <w:i w:val="false"/>
          <w:iCs w:val="false"/>
          <w:color w:val="1A1613"/>
          <w:sz w:val="20"/>
          <w:szCs w:val="20"/>
        </w:rPr>
        <w:t xml:space="preserve">Disclaimer</w:t>
      </w:r>
    </w:p>
    <w:p>
      <w:pPr>
        <w:spacing w:after="200" w:before="0"/>
      </w:pPr>
      <w:r>
        <w:rPr>
          <w:rFonts w:ascii="Garamond" w:cs="Garamond" w:eastAsia="Garamond" w:hAnsi="Garamond"/>
          <w:b w:val="false"/>
          <w:bCs w:val="false"/>
          <w:i/>
          <w:iCs/>
          <w:color w:val="1A1613"/>
          <w:sz w:val="20"/>
          <w:szCs w:val="20"/>
        </w:rPr>
        <w:t xml:space="preserve">The shadow network does not claim to prove illegal activity, insider trading, or undisclosed conflicts. It is a signal processing layer over public records. Many identified patterns have innocent explanations. No claim of beneficial ownership is asserted absent documentary support from public filings.</w:t>
      </w:r>
    </w:p>
    <w:p>
      <w:pPr>
        <w:pStyle w:val="Heading1"/>
        <w:spacing w:after="140" w:before="0"/>
      </w:pPr>
      <w:r>
        <w:rPr>
          <w:rFonts w:ascii="Garamond" w:cs="Garamond" w:eastAsia="Garamond" w:hAnsi="Garamond"/>
          <w:b w:val="false"/>
          <w:bCs w:val="false"/>
          <w:i w:val="false"/>
          <w:iCs w:val="false"/>
          <w:color w:val="1A1613"/>
          <w:sz w:val="20"/>
          <w:szCs w:val="20"/>
        </w:rPr>
        <w:t xml:space="preserve">5. Falsifiability and Failure Rules</w:t>
      </w:r>
    </w:p>
    <w:p>
      <w:pPr>
        <w:spacing w:after="140" w:before="0"/>
      </w:pPr>
      <w:r>
        <w:rPr>
          <w:rFonts w:ascii="Garamond" w:cs="Garamond" w:eastAsia="Garamond" w:hAnsi="Garamond"/>
          <w:b w:val="false"/>
          <w:bCs w:val="false"/>
          <w:i w:val="false"/>
          <w:iCs w:val="false"/>
          <w:color w:val="1A1613"/>
          <w:sz w:val="20"/>
          <w:szCs w:val="20"/>
        </w:rPr>
        <w:t xml:space="preserve">An algorithm that cannot be proven wrong is not an algorithm.</w:t>
      </w:r>
    </w:p>
    <w:p>
      <w:pPr>
        <w:pStyle w:val="Heading3"/>
        <w:spacing w:after="140" w:before="0"/>
      </w:pPr>
      <w:r>
        <w:rPr>
          <w:rFonts w:ascii="Garamond" w:cs="Garamond" w:eastAsia="Garamond" w:hAnsi="Garamond"/>
          <w:b w:val="false"/>
          <w:bCs w:val="false"/>
          <w:i w:val="false"/>
          <w:iCs w:val="false"/>
          <w:color w:val="1A1613"/>
          <w:sz w:val="20"/>
          <w:szCs w:val="20"/>
        </w:rPr>
        <w:t xml:space="preserve">Signal Channel Suspension</w:t>
      </w:r>
    </w:p>
    <w:p>
      <w:pPr>
        <w:spacing w:after="140" w:before="0"/>
      </w:pPr>
      <w:r>
        <w:rPr>
          <w:rFonts w:ascii="Garamond" w:cs="Garamond" w:eastAsia="Garamond" w:hAnsi="Garamond"/>
          <w:b w:val="false"/>
          <w:bCs w:val="false"/>
          <w:i w:val="false"/>
          <w:iCs w:val="false"/>
          <w:color w:val="1A1613"/>
          <w:sz w:val="20"/>
          <w:szCs w:val="20"/>
        </w:rPr>
        <w:t xml:space="preserve">Any channel whose trailing 90-day directional accuracy (per the 5-day evaluation horizon defined in Section 3) falls below 48% is reduced to minimum weight (2%) and flagged. If below 48% for 180 consecutive days, the channel is suspended from convergence calculation entirely. Reinstated only after manual review and 90-day observation period above 52%.</w:t>
      </w:r>
    </w:p>
    <w:p>
      <w:pPr>
        <w:pStyle w:val="Heading3"/>
        <w:spacing w:after="140" w:before="0"/>
      </w:pPr>
      <w:r>
        <w:rPr>
          <w:rFonts w:ascii="Garamond" w:cs="Garamond" w:eastAsia="Garamond" w:hAnsi="Garamond"/>
          <w:b w:val="false"/>
          <w:bCs w:val="false"/>
          <w:i w:val="false"/>
          <w:iCs w:val="false"/>
          <w:color w:val="1A1613"/>
          <w:sz w:val="20"/>
          <w:szCs w:val="20"/>
        </w:rPr>
        <w:t xml:space="preserve">Member Down-Ranking</w:t>
      </w:r>
    </w:p>
    <w:p>
      <w:pPr>
        <w:spacing w:after="140" w:before="0"/>
      </w:pPr>
      <w:r>
        <w:rPr>
          <w:rFonts w:ascii="Garamond" w:cs="Garamond" w:eastAsia="Garamond" w:hAnsi="Garamond"/>
          <w:b w:val="false"/>
          <w:bCs w:val="false"/>
          <w:i w:val="false"/>
          <w:iCs w:val="false"/>
          <w:color w:val="1A1613"/>
          <w:sz w:val="20"/>
          <w:szCs w:val="20"/>
        </w:rPr>
        <w:t xml:space="preserve">A member whose disclosed trades produce a trailing 12-month directional hit rate below 45% is down-ranked. Their trades contribute inverse signal weight: a purchase weakly supports the bearish hypothesis. Members who cease filing are archived after 12 months.</w:t>
      </w:r>
    </w:p>
    <w:p>
      <w:pPr>
        <w:pStyle w:val="Heading3"/>
        <w:spacing w:after="140" w:before="0"/>
      </w:pPr>
      <w:r>
        <w:rPr>
          <w:rFonts w:ascii="Garamond" w:cs="Garamond" w:eastAsia="Garamond" w:hAnsi="Garamond"/>
          <w:b w:val="false"/>
          <w:bCs w:val="false"/>
          <w:i w:val="false"/>
          <w:iCs w:val="false"/>
          <w:color w:val="1A1613"/>
          <w:sz w:val="20"/>
          <w:szCs w:val="20"/>
        </w:rPr>
        <w:t xml:space="preserve">Symbol Removal</w:t>
      </w:r>
    </w:p>
    <w:p>
      <w:pPr>
        <w:spacing w:after="140" w:before="0"/>
      </w:pPr>
      <w:r>
        <w:rPr>
          <w:rFonts w:ascii="Garamond" w:cs="Garamond" w:eastAsia="Garamond" w:hAnsi="Garamond"/>
          <w:b w:val="false"/>
          <w:bCs w:val="false"/>
          <w:i w:val="false"/>
          <w:iCs w:val="false"/>
          <w:color w:val="1A1613"/>
          <w:sz w:val="20"/>
          <w:szCs w:val="20"/>
        </w:rPr>
        <w:t xml:space="preserve">Removed when: delisted, acquired, or suspended; average daily volume below 500,000 shares; or zero congressional, institutional, or options activity for 90 consecutive days.</w:t>
      </w:r>
    </w:p>
    <w:p>
      <w:pPr>
        <w:pStyle w:val="Heading3"/>
        <w:spacing w:after="140" w:before="0"/>
      </w:pPr>
      <w:r>
        <w:rPr>
          <w:rFonts w:ascii="Garamond" w:cs="Garamond" w:eastAsia="Garamond" w:hAnsi="Garamond"/>
          <w:b w:val="false"/>
          <w:bCs w:val="false"/>
          <w:i w:val="false"/>
          <w:iCs w:val="false"/>
          <w:color w:val="1A1613"/>
          <w:sz w:val="20"/>
          <w:szCs w:val="20"/>
        </w:rPr>
        <w:t xml:space="preserve">Event Quarantine</w:t>
      </w:r>
    </w:p>
    <w:p>
      <w:pPr>
        <w:spacing w:after="140" w:before="0"/>
      </w:pPr>
      <w:r>
        <w:rPr>
          <w:rFonts w:ascii="Garamond" w:cs="Garamond" w:eastAsia="Garamond" w:hAnsi="Garamond"/>
          <w:b w:val="false"/>
          <w:bCs w:val="false"/>
          <w:i w:val="false"/>
          <w:iCs w:val="false"/>
          <w:color w:val="1A1613"/>
          <w:sz w:val="20"/>
          <w:szCs w:val="20"/>
        </w:rPr>
        <w:t xml:space="preserve">An event thesis is quarantined when: aggregate P&amp;L of attributed trades is negative at RESOLUTION phase; event remains in a single phase for 90+ days (stale); or sector correlation drops below 0.3.</w:t>
      </w:r>
    </w:p>
    <w:p>
      <w:pPr>
        <w:pStyle w:val="Heading3"/>
        <w:spacing w:after="140" w:before="0"/>
      </w:pPr>
      <w:r>
        <w:rPr>
          <w:rFonts w:ascii="Garamond" w:cs="Garamond" w:eastAsia="Garamond" w:hAnsi="Garamond"/>
          <w:b w:val="false"/>
          <w:bCs w:val="false"/>
          <w:i w:val="false"/>
          <w:iCs w:val="false"/>
          <w:color w:val="1A1613"/>
          <w:sz w:val="20"/>
          <w:szCs w:val="20"/>
        </w:rPr>
        <w:t xml:space="preserve">System-Wide Trading Halt</w:t>
      </w:r>
    </w:p>
    <w:p>
      <w:pPr>
        <w:spacing w:after="140" w:before="0"/>
      </w:pPr>
      <w:r>
        <w:rPr>
          <w:rFonts w:ascii="Garamond" w:cs="Garamond" w:eastAsia="Garamond" w:hAnsi="Garamond"/>
          <w:b w:val="false"/>
          <w:bCs w:val="false"/>
          <w:i w:val="false"/>
          <w:iCs w:val="false"/>
          <w:color w:val="1A1613"/>
          <w:sz w:val="20"/>
          <w:szCs w:val="20"/>
        </w:rPr>
        <w:t xml:space="preserve">New signals suspended (full OBSERVE) when: VIX &gt; 45; &gt;50% of active positions at &gt;5% loss each; trailing 30-day win rate &lt; 40%; or 2+ primary data sources unavailable for 30+ minutes during market hours. Halt prevents new entries; does not auto-liquidate existing positions.</w:t>
      </w:r>
    </w:p>
    <w:p>
      <w:pPr>
        <w:pStyle w:val="Heading3"/>
        <w:spacing w:after="140" w:before="0"/>
      </w:pPr>
      <w:r>
        <w:rPr>
          <w:rFonts w:ascii="Garamond" w:cs="Garamond" w:eastAsia="Garamond" w:hAnsi="Garamond"/>
          <w:b w:val="false"/>
          <w:bCs w:val="false"/>
          <w:i w:val="false"/>
          <w:iCs w:val="false"/>
          <w:color w:val="1A1613"/>
          <w:sz w:val="20"/>
          <w:szCs w:val="20"/>
        </w:rPr>
        <w:t xml:space="preserve">Recalibration Constraints</w:t>
      </w:r>
    </w:p>
    <w:p>
      <w:pPr>
        <w:spacing w:after="200" w:before="0"/>
      </w:pPr>
      <w:r>
        <w:rPr>
          <w:rFonts w:ascii="Garamond" w:cs="Garamond" w:eastAsia="Garamond" w:hAnsi="Garamond"/>
          <w:b w:val="false"/>
          <w:bCs w:val="false"/>
          <w:i w:val="false"/>
          <w:iCs w:val="false"/>
          <w:color w:val="1A1613"/>
          <w:sz w:val="20"/>
          <w:szCs w:val="20"/>
        </w:rPr>
        <w:t xml:space="preserve">Requires: 10+ resolved predictions in window; 8 cycles since last recalibration; &lt;30% anomaly rate in recent predictions. Maximum 2% weight shift per channel per cycle. No weight below 2% or above 30%.</w:t>
      </w:r>
    </w:p>
    <w:p>
      <w:pPr>
        <w:pStyle w:val="Heading1"/>
        <w:spacing w:after="140" w:before="0"/>
      </w:pPr>
      <w:r>
        <w:rPr>
          <w:rFonts w:ascii="Garamond" w:cs="Garamond" w:eastAsia="Garamond" w:hAnsi="Garamond"/>
          <w:b w:val="false"/>
          <w:bCs w:val="false"/>
          <w:i w:val="false"/>
          <w:iCs w:val="false"/>
          <w:color w:val="1A1613"/>
          <w:sz w:val="20"/>
          <w:szCs w:val="20"/>
        </w:rPr>
        <w:t xml:space="preserve">6. Risk and Execution Realism</w:t>
      </w:r>
    </w:p>
    <w:p>
      <w:pPr>
        <w:spacing w:after="140" w:before="0"/>
      </w:pPr>
      <w:r>
        <w:rPr>
          <w:rFonts w:ascii="Garamond" w:cs="Garamond" w:eastAsia="Garamond" w:hAnsi="Garamond"/>
          <w:b w:val="false"/>
          <w:bCs w:val="false"/>
          <w:i w:val="false"/>
          <w:iCs w:val="false"/>
          <w:color w:val="1A1613"/>
          <w:sz w:val="20"/>
          <w:szCs w:val="20"/>
        </w:rPr>
        <w:t xml:space="preserve">Position Sizing: Modified Kelly Criterion capped at 12% of portfolio per position. Regime scaling: Steady=100%, Turbulent=55%, Crisis=25%. Sector concentration cap: 40%. Correlation clustering cap: 25% aggregate for positions with &gt;0.7 pairwise correlation.</w:t>
      </w:r>
    </w:p>
    <w:p>
      <w:pPr>
        <w:spacing w:after="140" w:before="0"/>
      </w:pPr>
      <w:r>
        <w:rPr>
          <w:rFonts w:ascii="Garamond" w:cs="Garamond" w:eastAsia="Garamond" w:hAnsi="Garamond"/>
          <w:b w:val="false"/>
          <w:bCs w:val="false"/>
          <w:i w:val="false"/>
          <w:iCs w:val="false"/>
          <w:color w:val="1A1613"/>
          <w:sz w:val="20"/>
          <w:szCs w:val="20"/>
        </w:rPr>
        <w:t xml:space="preserve">Inverse ETF Constraints: Maximum 5 trading-day hold. Forced review at 3 days. Tracking error monitored; flagged if trailing 5-day error exceeds 2%. Daily rebalancing decay acknowledged as cost of inverse positioning.</w:t>
      </w:r>
    </w:p>
    <w:p>
      <w:pPr>
        <w:spacing w:after="140" w:before="0"/>
      </w:pPr>
      <w:r>
        <w:rPr>
          <w:rFonts w:ascii="Garamond" w:cs="Garamond" w:eastAsia="Garamond" w:hAnsi="Garamond"/>
          <w:b w:val="false"/>
          <w:bCs w:val="false"/>
          <w:i w:val="false"/>
          <w:iCs w:val="false"/>
          <w:color w:val="1A1613"/>
          <w:sz w:val="20"/>
          <w:szCs w:val="20"/>
        </w:rPr>
        <w:t xml:space="preserve">Liquidity: 500,000 ADV minimum. Limit orders with 0.1% midpoint offset for positions &gt;$5,000. Overnight exposure capped at 80% of portfolio (20% cash buffer minimum).</w:t>
      </w:r>
    </w:p>
    <w:p>
      <w:pPr>
        <w:spacing w:after="140" w:before="0"/>
      </w:pPr>
      <w:r>
        <w:rPr>
          <w:rFonts w:ascii="Garamond" w:cs="Garamond" w:eastAsia="Garamond" w:hAnsi="Garamond"/>
          <w:b w:val="false"/>
          <w:bCs w:val="false"/>
          <w:i w:val="false"/>
          <w:iCs w:val="false"/>
          <w:color w:val="1A1613"/>
          <w:sz w:val="20"/>
          <w:szCs w:val="20"/>
        </w:rPr>
        <w:t xml:space="preserve">Borrow Constraints: Short positions require confirmation of share availability through broker. If borrow cost exceeds 5% annualized or shares are hard-to-borrow, the system substitutes the corresponding inverse ETF where available or generates no signal.</w:t>
      </w:r>
    </w:p>
    <w:p>
      <w:pPr>
        <w:spacing w:after="140" w:before="0"/>
      </w:pPr>
      <w:r>
        <w:rPr>
          <w:rFonts w:ascii="Garamond" w:cs="Garamond" w:eastAsia="Garamond" w:hAnsi="Garamond"/>
          <w:b w:val="false"/>
          <w:bCs w:val="false"/>
          <w:i w:val="false"/>
          <w:iCs w:val="false"/>
          <w:color w:val="1A1613"/>
          <w:sz w:val="20"/>
          <w:szCs w:val="20"/>
        </w:rPr>
        <w:t xml:space="preserve">Gap Risk: Weekend and overnight positions are limited to 80% portfolio exposure. Positions in securities with earnings announcements within 3 trading days receive 50% position size reduction.</w:t>
      </w:r>
    </w:p>
    <w:p>
      <w:pPr>
        <w:spacing w:after="140" w:before="0"/>
      </w:pPr>
      <w:r>
        <w:rPr>
          <w:rFonts w:ascii="Garamond" w:cs="Garamond" w:eastAsia="Garamond" w:hAnsi="Garamond"/>
          <w:b w:val="false"/>
          <w:bCs w:val="false"/>
          <w:i w:val="false"/>
          <w:iCs w:val="false"/>
          <w:color w:val="1A1613"/>
          <w:sz w:val="20"/>
          <w:szCs w:val="20"/>
        </w:rPr>
        <w:t xml:space="preserve">Tax Drag: AURE's active approach generates short-term capital gains. Users should consult a tax professional. Tax-loss harvesting is not implemented in current version.</w:t>
      </w:r>
    </w:p>
    <w:p>
      <w:pPr>
        <w:spacing w:after="200" w:before="0"/>
      </w:pPr>
      <w:r>
        <w:rPr>
          <w:rFonts w:ascii="Garamond" w:cs="Garamond" w:eastAsia="Garamond" w:hAnsi="Garamond"/>
          <w:b w:val="false"/>
          <w:bCs w:val="false"/>
          <w:i w:val="false"/>
          <w:iCs w:val="false"/>
          <w:color w:val="1A1613"/>
          <w:sz w:val="20"/>
          <w:szCs w:val="20"/>
        </w:rPr>
        <w:t xml:space="preserve">Paper Trading Limitation: Alpaca's paper trading environment uses IEX data (a subset of consolidated SIP data) and simulated fills that do not reflect real market microstructure, partial fills, or market impact.</w:t>
      </w:r>
      <w:r>
        <w:rPr>
          <w:rFonts w:ascii="Garamond" w:cs="Garamond" w:eastAsia="Garamond" w:hAnsi="Garamond"/>
          <w:b w:val="false"/>
          <w:bCs w:val="false"/>
          <w:i w:val="false"/>
          <w:iCs w:val="false"/>
          <w:color w:val="9A7B3C"/>
          <w:sz w:val="16"/>
          <w:szCs w:val="16"/>
          <w:vertAlign w:val="superscript"/>
        </w:rPr>
        <w:t xml:space="preserve">5</w:t>
      </w:r>
    </w:p>
    <w:p>
      <w:pPr>
        <w:pStyle w:val="Heading1"/>
        <w:spacing w:after="140" w:before="0"/>
      </w:pPr>
      <w:r>
        <w:rPr>
          <w:rFonts w:ascii="Garamond" w:cs="Garamond" w:eastAsia="Garamond" w:hAnsi="Garamond"/>
          <w:b w:val="false"/>
          <w:bCs w:val="false"/>
          <w:i w:val="false"/>
          <w:iCs w:val="false"/>
          <w:color w:val="1A1613"/>
          <w:sz w:val="20"/>
          <w:szCs w:val="20"/>
        </w:rPr>
        <w:t xml:space="preserve">7. Validation Results</w:t>
      </w:r>
    </w:p>
    <w:p>
      <w:pPr>
        <w:spacing w:after="140" w:before="0"/>
      </w:pPr>
      <w:r>
        <w:rPr>
          <w:rFonts w:ascii="Garamond" w:cs="Garamond" w:eastAsia="Garamond" w:hAnsi="Garamond"/>
          <w:b/>
          <w:bCs/>
          <w:i w:val="false"/>
          <w:iCs w:val="false"/>
          <w:color w:val="1A1613"/>
          <w:sz w:val="20"/>
          <w:szCs w:val="20"/>
        </w:rPr>
        <w:t xml:space="preserve">The following results are from historical backtesting and are entirely hypothetical. They do not represent actual trading. Hypothetical results have inherent limitations including benefit of hindsight, absence of real execution factors (partial fills, market impact, emotional decision-making), survivorship bias in the ticker universe, and overfitting risk despite walk-forward methodology.</w:t>
      </w:r>
      <w:r>
        <w:rPr>
          <w:rFonts w:ascii="Garamond" w:cs="Garamond" w:eastAsia="Garamond" w:hAnsi="Garamond"/>
          <w:b w:val="false"/>
          <w:bCs w:val="false"/>
          <w:i w:val="false"/>
          <w:iCs w:val="false"/>
          <w:color w:val="1A1613"/>
          <w:sz w:val="20"/>
          <w:szCs w:val="20"/>
        </w:rPr>
        <w:t xml:space="preserve"> Past hypothetical performance is not indicative of future results.</w:t>
      </w:r>
    </w:p>
    <w:p>
      <w:pPr>
        <w:pStyle w:val="Heading3"/>
        <w:spacing w:after="140" w:before="0"/>
      </w:pPr>
      <w:r>
        <w:rPr>
          <w:rFonts w:ascii="Garamond" w:cs="Garamond" w:eastAsia="Garamond" w:hAnsi="Garamond"/>
          <w:b w:val="false"/>
          <w:bCs w:val="false"/>
          <w:i w:val="false"/>
          <w:iCs w:val="false"/>
          <w:color w:val="1A1613"/>
          <w:sz w:val="20"/>
          <w:szCs w:val="20"/>
        </w:rPr>
        <w:t xml:space="preserve">Backtest Methodology</w:t>
      </w:r>
    </w:p>
    <w:p>
      <w:pPr>
        <w:spacing w:after="140" w:before="0"/>
      </w:pPr>
      <w:r>
        <w:rPr>
          <w:rFonts w:ascii="Garamond" w:cs="Garamond" w:eastAsia="Garamond" w:hAnsi="Garamond"/>
          <w:b w:val="false"/>
          <w:bCs w:val="false"/>
          <w:i w:val="false"/>
          <w:iCs w:val="false"/>
          <w:color w:val="1A1613"/>
          <w:sz w:val="20"/>
          <w:szCs w:val="20"/>
        </w:rPr>
        <w:t xml:space="preserve">Period: January 2020 through December 2025 (6 years). Walk-forward design: 12-month training window, 3-month out-of-sample validation, rolled quarterly. Execution assumptions: 1-day delay from signal generation, 0.05% slippage per trade, $0 commission. Starting capital: $10,000. Evaluation horizon: 5 trading days per signal. Universe: see Appendix C.</w:t>
      </w:r>
    </w:p>
    <w:p>
      <w:pPr>
        <w:pStyle w:val="Heading3"/>
        <w:spacing w:after="140" w:before="0"/>
      </w:pPr>
      <w:r>
        <w:rPr>
          <w:rFonts w:ascii="Garamond" w:cs="Garamond" w:eastAsia="Garamond" w:hAnsi="Garamond"/>
          <w:b w:val="false"/>
          <w:bCs w:val="false"/>
          <w:i w:val="false"/>
          <w:iCs w:val="false"/>
          <w:color w:val="1A1613"/>
          <w:sz w:val="20"/>
          <w:szCs w:val="20"/>
        </w:rPr>
        <w:t xml:space="preserve">Results Summary (Hypothetical)</w:t>
      </w:r>
    </w:p>
    <w:tbl>
      <w:tblPr>
        <w:tblW w:type="dxa" w:w="9840"/>
        <w:tblBorders>
          <w:top w:val="single" w:color="auto" w:sz="4"/>
          <w:left w:val="single" w:color="auto" w:sz="4"/>
          <w:bottom w:val="single" w:color="auto" w:sz="4"/>
          <w:right w:val="single" w:color="auto" w:sz="4"/>
          <w:insideH w:val="single" w:color="auto" w:sz="4"/>
          <w:insideV w:val="single" w:color="auto" w:sz="4"/>
        </w:tblBorders>
      </w:tblPr>
      <w:tblGrid>
        <w:gridCol w:w="3280"/>
        <w:gridCol w:w="2187"/>
        <w:gridCol w:w="2187"/>
        <w:gridCol w:w="2186"/>
      </w:tblGrid>
      <w:tr>
        <w:tc>
          <w:tcPr>
            <w:tcW w:type="dxa" w:w="3280"/>
            <w:tcBorders>
              <w:top w:val="single" w:color="D4CCC0" w:sz="1"/>
              <w:left w:val="single" w:color="D4CCC0" w:sz="1"/>
              <w:bottom w:val="single" w:color="D4CCC0" w:sz="1"/>
              <w:right w:val="single" w:color="D4CCC0" w:sz="1"/>
            </w:tcBorders>
            <w:shd w:fill="F0EBE3" w:val="clear"/>
            <w:tcMar>
              <w:top w:type="dxa" w:w="60"/>
              <w:left w:type="dxa" w:w="100"/>
              <w:bottom w:type="dxa" w:w="60"/>
              <w:right w:type="dxa" w:w="100"/>
            </w:tcMar>
          </w:tcPr>
          <w:p>
            <w:pPr>
              <w:jc w:val="left"/>
            </w:pPr>
            <w:r>
              <w:rPr>
                <w:rFonts w:ascii="Garamond" w:cs="Garamond" w:eastAsia="Garamond" w:hAnsi="Garamond"/>
                <w:b/>
                <w:bCs/>
                <w:color w:val="1A1613"/>
                <w:sz w:val="18"/>
                <w:szCs w:val="18"/>
              </w:rPr>
              <w:t xml:space="preserve">Metric</w:t>
            </w:r>
          </w:p>
        </w:tc>
        <w:tc>
          <w:tcPr>
            <w:tcW w:type="dxa" w:w="2187"/>
            <w:tcBorders>
              <w:top w:val="single" w:color="D4CCC0" w:sz="1"/>
              <w:left w:val="single" w:color="D4CCC0" w:sz="1"/>
              <w:bottom w:val="single" w:color="D4CCC0" w:sz="1"/>
              <w:right w:val="single" w:color="D4CCC0" w:sz="1"/>
            </w:tcBorders>
            <w:shd w:fill="F0EBE3" w:val="clear"/>
            <w:tcMar>
              <w:top w:type="dxa" w:w="60"/>
              <w:left w:type="dxa" w:w="100"/>
              <w:bottom w:type="dxa" w:w="60"/>
              <w:right w:type="dxa" w:w="100"/>
            </w:tcMar>
          </w:tcPr>
          <w:p>
            <w:pPr>
              <w:jc w:val="center"/>
            </w:pPr>
            <w:r>
              <w:rPr>
                <w:rFonts w:ascii="Garamond" w:cs="Garamond" w:eastAsia="Garamond" w:hAnsi="Garamond"/>
                <w:b/>
                <w:bCs/>
                <w:color w:val="1A1613"/>
                <w:sz w:val="18"/>
                <w:szCs w:val="18"/>
              </w:rPr>
              <w:t xml:space="preserve">AURE (Hypothetical)</w:t>
            </w:r>
          </w:p>
        </w:tc>
        <w:tc>
          <w:tcPr>
            <w:tcW w:type="dxa" w:w="2187"/>
            <w:tcBorders>
              <w:top w:val="single" w:color="D4CCC0" w:sz="1"/>
              <w:left w:val="single" w:color="D4CCC0" w:sz="1"/>
              <w:bottom w:val="single" w:color="D4CCC0" w:sz="1"/>
              <w:right w:val="single" w:color="D4CCC0" w:sz="1"/>
            </w:tcBorders>
            <w:shd w:fill="F0EBE3" w:val="clear"/>
            <w:tcMar>
              <w:top w:type="dxa" w:w="60"/>
              <w:left w:type="dxa" w:w="100"/>
              <w:bottom w:type="dxa" w:w="60"/>
              <w:right w:type="dxa" w:w="100"/>
            </w:tcMar>
          </w:tcPr>
          <w:p>
            <w:pPr>
              <w:jc w:val="center"/>
            </w:pPr>
            <w:r>
              <w:rPr>
                <w:rFonts w:ascii="Garamond" w:cs="Garamond" w:eastAsia="Garamond" w:hAnsi="Garamond"/>
                <w:b/>
                <w:bCs/>
                <w:color w:val="1A1613"/>
                <w:sz w:val="18"/>
                <w:szCs w:val="18"/>
              </w:rPr>
              <w:t xml:space="preserve">SPY Buy &amp; Hold</w:t>
            </w:r>
          </w:p>
        </w:tc>
        <w:tc>
          <w:tcPr>
            <w:tcW w:type="dxa" w:w="2186"/>
            <w:tcBorders>
              <w:top w:val="single" w:color="D4CCC0" w:sz="1"/>
              <w:left w:val="single" w:color="D4CCC0" w:sz="1"/>
              <w:bottom w:val="single" w:color="D4CCC0" w:sz="1"/>
              <w:right w:val="single" w:color="D4CCC0" w:sz="1"/>
            </w:tcBorders>
            <w:shd w:fill="F0EBE3" w:val="clear"/>
            <w:tcMar>
              <w:top w:type="dxa" w:w="60"/>
              <w:left w:type="dxa" w:w="100"/>
              <w:bottom w:type="dxa" w:w="60"/>
              <w:right w:type="dxa" w:w="100"/>
            </w:tcMar>
          </w:tcPr>
          <w:p>
            <w:pPr>
              <w:jc w:val="center"/>
            </w:pPr>
            <w:r>
              <w:rPr>
                <w:rFonts w:ascii="Garamond" w:cs="Garamond" w:eastAsia="Garamond" w:hAnsi="Garamond"/>
                <w:b/>
                <w:bCs/>
                <w:color w:val="1A1613"/>
                <w:sz w:val="18"/>
                <w:szCs w:val="18"/>
              </w:rPr>
              <w:t xml:space="preserve">Congress Copy</w:t>
            </w:r>
          </w:p>
        </w:tc>
      </w:tr>
      <w:tr>
        <w:tc>
          <w:tcPr>
            <w:tcW w:type="dxa" w:w="3280"/>
            <w:tcBorders>
              <w:top w:val="single" w:color="D4CCC0" w:sz="1"/>
              <w:left w:val="single" w:color="D4CCC0" w:sz="1"/>
              <w:bottom w:val="single" w:color="D4CCC0" w:sz="1"/>
              <w:right w:val="single" w:color="D4CCC0" w:sz="1"/>
            </w:tcBorders>
            <w:tcMar>
              <w:top w:type="dxa" w:w="60"/>
              <w:left w:type="dxa" w:w="100"/>
              <w:bottom w:type="dxa" w:w="60"/>
              <w:right w:type="dxa" w:w="100"/>
            </w:tcMar>
          </w:tcPr>
          <w:p>
            <w:pPr>
              <w:jc w:val="left"/>
            </w:pPr>
            <w:r>
              <w:rPr>
                <w:rFonts w:ascii="Garamond" w:cs="Garamond" w:eastAsia="Garamond" w:hAnsi="Garamond"/>
                <w:b w:val="false"/>
                <w:bCs w:val="false"/>
                <w:color w:val="1A1613"/>
                <w:sz w:val="18"/>
                <w:szCs w:val="18"/>
              </w:rPr>
              <w:t xml:space="preserve">CAGR (annualized)</w:t>
            </w:r>
          </w:p>
        </w:tc>
        <w:tc>
          <w:tcPr>
            <w:tcW w:type="dxa" w:w="2187"/>
            <w:tcBorders>
              <w:top w:val="single" w:color="D4CCC0" w:sz="1"/>
              <w:left w:val="single" w:color="D4CCC0" w:sz="1"/>
              <w:bottom w:val="single" w:color="D4CCC0" w:sz="1"/>
              <w:right w:val="single" w:color="D4CCC0" w:sz="1"/>
            </w:tcBorders>
            <w:tcMar>
              <w:top w:type="dxa" w:w="60"/>
              <w:left w:type="dxa" w:w="100"/>
              <w:bottom w:type="dxa" w:w="60"/>
              <w:right w:type="dxa" w:w="100"/>
            </w:tcMar>
          </w:tcPr>
          <w:p>
            <w:pPr>
              <w:jc w:val="center"/>
            </w:pPr>
            <w:r>
              <w:rPr>
                <w:rFonts w:ascii="Garamond" w:cs="Garamond" w:eastAsia="Garamond" w:hAnsi="Garamond"/>
                <w:b w:val="false"/>
                <w:bCs w:val="false"/>
                <w:color w:val="1A1613"/>
                <w:sz w:val="18"/>
                <w:szCs w:val="18"/>
              </w:rPr>
              <w:t xml:space="preserve">18.4%</w:t>
            </w:r>
          </w:p>
        </w:tc>
        <w:tc>
          <w:tcPr>
            <w:tcW w:type="dxa" w:w="2187"/>
            <w:tcBorders>
              <w:top w:val="single" w:color="D4CCC0" w:sz="1"/>
              <w:left w:val="single" w:color="D4CCC0" w:sz="1"/>
              <w:bottom w:val="single" w:color="D4CCC0" w:sz="1"/>
              <w:right w:val="single" w:color="D4CCC0" w:sz="1"/>
            </w:tcBorders>
            <w:tcMar>
              <w:top w:type="dxa" w:w="60"/>
              <w:left w:type="dxa" w:w="100"/>
              <w:bottom w:type="dxa" w:w="60"/>
              <w:right w:type="dxa" w:w="100"/>
            </w:tcMar>
          </w:tcPr>
          <w:p>
            <w:pPr>
              <w:jc w:val="center"/>
            </w:pPr>
            <w:r>
              <w:rPr>
                <w:rFonts w:ascii="Garamond" w:cs="Garamond" w:eastAsia="Garamond" w:hAnsi="Garamond"/>
                <w:b w:val="false"/>
                <w:bCs w:val="false"/>
                <w:color w:val="1A1613"/>
                <w:sz w:val="18"/>
                <w:szCs w:val="18"/>
              </w:rPr>
              <w:t xml:space="preserve">11.2%</w:t>
            </w:r>
          </w:p>
        </w:tc>
        <w:tc>
          <w:tcPr>
            <w:tcW w:type="dxa" w:w="2186"/>
            <w:tcBorders>
              <w:top w:val="single" w:color="D4CCC0" w:sz="1"/>
              <w:left w:val="single" w:color="D4CCC0" w:sz="1"/>
              <w:bottom w:val="single" w:color="D4CCC0" w:sz="1"/>
              <w:right w:val="single" w:color="D4CCC0" w:sz="1"/>
            </w:tcBorders>
            <w:tcMar>
              <w:top w:type="dxa" w:w="60"/>
              <w:left w:type="dxa" w:w="100"/>
              <w:bottom w:type="dxa" w:w="60"/>
              <w:right w:type="dxa" w:w="100"/>
            </w:tcMar>
          </w:tcPr>
          <w:p>
            <w:pPr>
              <w:jc w:val="center"/>
            </w:pPr>
            <w:r>
              <w:rPr>
                <w:rFonts w:ascii="Garamond" w:cs="Garamond" w:eastAsia="Garamond" w:hAnsi="Garamond"/>
                <w:b w:val="false"/>
                <w:bCs w:val="false"/>
                <w:color w:val="1A1613"/>
                <w:sz w:val="18"/>
                <w:szCs w:val="18"/>
              </w:rPr>
              <w:t xml:space="preserve">14.1%</w:t>
            </w:r>
          </w:p>
        </w:tc>
      </w:tr>
      <w:tr>
        <w:tc>
          <w:tcPr>
            <w:tcW w:type="dxa" w:w="3280"/>
            <w:tcBorders>
              <w:top w:val="single" w:color="D4CCC0" w:sz="1"/>
              <w:left w:val="single" w:color="D4CCC0" w:sz="1"/>
              <w:bottom w:val="single" w:color="D4CCC0" w:sz="1"/>
              <w:right w:val="single" w:color="D4CCC0" w:sz="1"/>
            </w:tcBorders>
            <w:tcMar>
              <w:top w:type="dxa" w:w="60"/>
              <w:left w:type="dxa" w:w="100"/>
              <w:bottom w:type="dxa" w:w="60"/>
              <w:right w:type="dxa" w:w="100"/>
            </w:tcMar>
          </w:tcPr>
          <w:p>
            <w:pPr>
              <w:jc w:val="left"/>
            </w:pPr>
            <w:r>
              <w:rPr>
                <w:rFonts w:ascii="Garamond" w:cs="Garamond" w:eastAsia="Garamond" w:hAnsi="Garamond"/>
                <w:b w:val="false"/>
                <w:bCs w:val="false"/>
                <w:color w:val="1A1613"/>
                <w:sz w:val="18"/>
                <w:szCs w:val="18"/>
              </w:rPr>
              <w:t xml:space="preserve">Sharpe Ratio</w:t>
            </w:r>
          </w:p>
        </w:tc>
        <w:tc>
          <w:tcPr>
            <w:tcW w:type="dxa" w:w="2187"/>
            <w:tcBorders>
              <w:top w:val="single" w:color="D4CCC0" w:sz="1"/>
              <w:left w:val="single" w:color="D4CCC0" w:sz="1"/>
              <w:bottom w:val="single" w:color="D4CCC0" w:sz="1"/>
              <w:right w:val="single" w:color="D4CCC0" w:sz="1"/>
            </w:tcBorders>
            <w:tcMar>
              <w:top w:type="dxa" w:w="60"/>
              <w:left w:type="dxa" w:w="100"/>
              <w:bottom w:type="dxa" w:w="60"/>
              <w:right w:type="dxa" w:w="100"/>
            </w:tcMar>
          </w:tcPr>
          <w:p>
            <w:pPr>
              <w:jc w:val="center"/>
            </w:pPr>
            <w:r>
              <w:rPr>
                <w:rFonts w:ascii="Garamond" w:cs="Garamond" w:eastAsia="Garamond" w:hAnsi="Garamond"/>
                <w:b w:val="false"/>
                <w:bCs w:val="false"/>
                <w:color w:val="1A1613"/>
                <w:sz w:val="18"/>
                <w:szCs w:val="18"/>
              </w:rPr>
              <w:t xml:space="preserve">1.24</w:t>
            </w:r>
          </w:p>
        </w:tc>
        <w:tc>
          <w:tcPr>
            <w:tcW w:type="dxa" w:w="2187"/>
            <w:tcBorders>
              <w:top w:val="single" w:color="D4CCC0" w:sz="1"/>
              <w:left w:val="single" w:color="D4CCC0" w:sz="1"/>
              <w:bottom w:val="single" w:color="D4CCC0" w:sz="1"/>
              <w:right w:val="single" w:color="D4CCC0" w:sz="1"/>
            </w:tcBorders>
            <w:tcMar>
              <w:top w:type="dxa" w:w="60"/>
              <w:left w:type="dxa" w:w="100"/>
              <w:bottom w:type="dxa" w:w="60"/>
              <w:right w:type="dxa" w:w="100"/>
            </w:tcMar>
          </w:tcPr>
          <w:p>
            <w:pPr>
              <w:jc w:val="center"/>
            </w:pPr>
            <w:r>
              <w:rPr>
                <w:rFonts w:ascii="Garamond" w:cs="Garamond" w:eastAsia="Garamond" w:hAnsi="Garamond"/>
                <w:b w:val="false"/>
                <w:bCs w:val="false"/>
                <w:color w:val="1A1613"/>
                <w:sz w:val="18"/>
                <w:szCs w:val="18"/>
              </w:rPr>
              <w:t xml:space="preserve">0.72</w:t>
            </w:r>
          </w:p>
        </w:tc>
        <w:tc>
          <w:tcPr>
            <w:tcW w:type="dxa" w:w="2186"/>
            <w:tcBorders>
              <w:top w:val="single" w:color="D4CCC0" w:sz="1"/>
              <w:left w:val="single" w:color="D4CCC0" w:sz="1"/>
              <w:bottom w:val="single" w:color="D4CCC0" w:sz="1"/>
              <w:right w:val="single" w:color="D4CCC0" w:sz="1"/>
            </w:tcBorders>
            <w:tcMar>
              <w:top w:type="dxa" w:w="60"/>
              <w:left w:type="dxa" w:w="100"/>
              <w:bottom w:type="dxa" w:w="60"/>
              <w:right w:type="dxa" w:w="100"/>
            </w:tcMar>
          </w:tcPr>
          <w:p>
            <w:pPr>
              <w:jc w:val="center"/>
            </w:pPr>
            <w:r>
              <w:rPr>
                <w:rFonts w:ascii="Garamond" w:cs="Garamond" w:eastAsia="Garamond" w:hAnsi="Garamond"/>
                <w:b w:val="false"/>
                <w:bCs w:val="false"/>
                <w:color w:val="1A1613"/>
                <w:sz w:val="18"/>
                <w:szCs w:val="18"/>
              </w:rPr>
              <w:t xml:space="preserve">0.88</w:t>
            </w:r>
          </w:p>
        </w:tc>
      </w:tr>
      <w:tr>
        <w:tc>
          <w:tcPr>
            <w:tcW w:type="dxa" w:w="3280"/>
            <w:tcBorders>
              <w:top w:val="single" w:color="D4CCC0" w:sz="1"/>
              <w:left w:val="single" w:color="D4CCC0" w:sz="1"/>
              <w:bottom w:val="single" w:color="D4CCC0" w:sz="1"/>
              <w:right w:val="single" w:color="D4CCC0" w:sz="1"/>
            </w:tcBorders>
            <w:tcMar>
              <w:top w:type="dxa" w:w="60"/>
              <w:left w:type="dxa" w:w="100"/>
              <w:bottom w:type="dxa" w:w="60"/>
              <w:right w:type="dxa" w:w="100"/>
            </w:tcMar>
          </w:tcPr>
          <w:p>
            <w:pPr>
              <w:jc w:val="left"/>
            </w:pPr>
            <w:r>
              <w:rPr>
                <w:rFonts w:ascii="Garamond" w:cs="Garamond" w:eastAsia="Garamond" w:hAnsi="Garamond"/>
                <w:b w:val="false"/>
                <w:bCs w:val="false"/>
                <w:color w:val="1A1613"/>
                <w:sz w:val="18"/>
                <w:szCs w:val="18"/>
              </w:rPr>
              <w:t xml:space="preserve">Max Drawdown</w:t>
            </w:r>
          </w:p>
        </w:tc>
        <w:tc>
          <w:tcPr>
            <w:tcW w:type="dxa" w:w="2187"/>
            <w:tcBorders>
              <w:top w:val="single" w:color="D4CCC0" w:sz="1"/>
              <w:left w:val="single" w:color="D4CCC0" w:sz="1"/>
              <w:bottom w:val="single" w:color="D4CCC0" w:sz="1"/>
              <w:right w:val="single" w:color="D4CCC0" w:sz="1"/>
            </w:tcBorders>
            <w:tcMar>
              <w:top w:type="dxa" w:w="60"/>
              <w:left w:type="dxa" w:w="100"/>
              <w:bottom w:type="dxa" w:w="60"/>
              <w:right w:type="dxa" w:w="100"/>
            </w:tcMar>
          </w:tcPr>
          <w:p>
            <w:pPr>
              <w:jc w:val="center"/>
            </w:pPr>
            <w:r>
              <w:rPr>
                <w:rFonts w:ascii="Garamond" w:cs="Garamond" w:eastAsia="Garamond" w:hAnsi="Garamond"/>
                <w:b w:val="false"/>
                <w:bCs w:val="false"/>
                <w:color w:val="1A1613"/>
                <w:sz w:val="18"/>
                <w:szCs w:val="18"/>
              </w:rPr>
              <w:t xml:space="preserve">-16.8%</w:t>
            </w:r>
          </w:p>
        </w:tc>
        <w:tc>
          <w:tcPr>
            <w:tcW w:type="dxa" w:w="2187"/>
            <w:tcBorders>
              <w:top w:val="single" w:color="D4CCC0" w:sz="1"/>
              <w:left w:val="single" w:color="D4CCC0" w:sz="1"/>
              <w:bottom w:val="single" w:color="D4CCC0" w:sz="1"/>
              <w:right w:val="single" w:color="D4CCC0" w:sz="1"/>
            </w:tcBorders>
            <w:tcMar>
              <w:top w:type="dxa" w:w="60"/>
              <w:left w:type="dxa" w:w="100"/>
              <w:bottom w:type="dxa" w:w="60"/>
              <w:right w:type="dxa" w:w="100"/>
            </w:tcMar>
          </w:tcPr>
          <w:p>
            <w:pPr>
              <w:jc w:val="center"/>
            </w:pPr>
            <w:r>
              <w:rPr>
                <w:rFonts w:ascii="Garamond" w:cs="Garamond" w:eastAsia="Garamond" w:hAnsi="Garamond"/>
                <w:b w:val="false"/>
                <w:bCs w:val="false"/>
                <w:color w:val="1A1613"/>
                <w:sz w:val="18"/>
                <w:szCs w:val="18"/>
              </w:rPr>
              <w:t xml:space="preserve">-33.9%</w:t>
            </w:r>
          </w:p>
        </w:tc>
        <w:tc>
          <w:tcPr>
            <w:tcW w:type="dxa" w:w="2186"/>
            <w:tcBorders>
              <w:top w:val="single" w:color="D4CCC0" w:sz="1"/>
              <w:left w:val="single" w:color="D4CCC0" w:sz="1"/>
              <w:bottom w:val="single" w:color="D4CCC0" w:sz="1"/>
              <w:right w:val="single" w:color="D4CCC0" w:sz="1"/>
            </w:tcBorders>
            <w:tcMar>
              <w:top w:type="dxa" w:w="60"/>
              <w:left w:type="dxa" w:w="100"/>
              <w:bottom w:type="dxa" w:w="60"/>
              <w:right w:type="dxa" w:w="100"/>
            </w:tcMar>
          </w:tcPr>
          <w:p>
            <w:pPr>
              <w:jc w:val="center"/>
            </w:pPr>
            <w:r>
              <w:rPr>
                <w:rFonts w:ascii="Garamond" w:cs="Garamond" w:eastAsia="Garamond" w:hAnsi="Garamond"/>
                <w:b w:val="false"/>
                <w:bCs w:val="false"/>
                <w:color w:val="1A1613"/>
                <w:sz w:val="18"/>
                <w:szCs w:val="18"/>
              </w:rPr>
              <w:t xml:space="preserve">-24.2%</w:t>
            </w:r>
          </w:p>
        </w:tc>
      </w:tr>
      <w:tr>
        <w:tc>
          <w:tcPr>
            <w:tcW w:type="dxa" w:w="3280"/>
            <w:tcBorders>
              <w:top w:val="single" w:color="D4CCC0" w:sz="1"/>
              <w:left w:val="single" w:color="D4CCC0" w:sz="1"/>
              <w:bottom w:val="single" w:color="D4CCC0" w:sz="1"/>
              <w:right w:val="single" w:color="D4CCC0" w:sz="1"/>
            </w:tcBorders>
            <w:tcMar>
              <w:top w:type="dxa" w:w="60"/>
              <w:left w:type="dxa" w:w="100"/>
              <w:bottom w:type="dxa" w:w="60"/>
              <w:right w:type="dxa" w:w="100"/>
            </w:tcMar>
          </w:tcPr>
          <w:p>
            <w:pPr>
              <w:jc w:val="left"/>
            </w:pPr>
            <w:r>
              <w:rPr>
                <w:rFonts w:ascii="Garamond" w:cs="Garamond" w:eastAsia="Garamond" w:hAnsi="Garamond"/>
                <w:b w:val="false"/>
                <w:bCs w:val="false"/>
                <w:color w:val="1A1613"/>
                <w:sz w:val="18"/>
                <w:szCs w:val="18"/>
              </w:rPr>
              <w:t xml:space="preserve">Win Rate (5-day horizon)</w:t>
            </w:r>
          </w:p>
        </w:tc>
        <w:tc>
          <w:tcPr>
            <w:tcW w:type="dxa" w:w="2187"/>
            <w:tcBorders>
              <w:top w:val="single" w:color="D4CCC0" w:sz="1"/>
              <w:left w:val="single" w:color="D4CCC0" w:sz="1"/>
              <w:bottom w:val="single" w:color="D4CCC0" w:sz="1"/>
              <w:right w:val="single" w:color="D4CCC0" w:sz="1"/>
            </w:tcBorders>
            <w:tcMar>
              <w:top w:type="dxa" w:w="60"/>
              <w:left w:type="dxa" w:w="100"/>
              <w:bottom w:type="dxa" w:w="60"/>
              <w:right w:type="dxa" w:w="100"/>
            </w:tcMar>
          </w:tcPr>
          <w:p>
            <w:pPr>
              <w:jc w:val="center"/>
            </w:pPr>
            <w:r>
              <w:rPr>
                <w:rFonts w:ascii="Garamond" w:cs="Garamond" w:eastAsia="Garamond" w:hAnsi="Garamond"/>
                <w:b w:val="false"/>
                <w:bCs w:val="false"/>
                <w:color w:val="1A1613"/>
                <w:sz w:val="18"/>
                <w:szCs w:val="18"/>
              </w:rPr>
              <w:t xml:space="preserve">58.3%</w:t>
            </w:r>
          </w:p>
        </w:tc>
        <w:tc>
          <w:tcPr>
            <w:tcW w:type="dxa" w:w="2187"/>
            <w:tcBorders>
              <w:top w:val="single" w:color="D4CCC0" w:sz="1"/>
              <w:left w:val="single" w:color="D4CCC0" w:sz="1"/>
              <w:bottom w:val="single" w:color="D4CCC0" w:sz="1"/>
              <w:right w:val="single" w:color="D4CCC0" w:sz="1"/>
            </w:tcBorders>
            <w:tcMar>
              <w:top w:type="dxa" w:w="60"/>
              <w:left w:type="dxa" w:w="100"/>
              <w:bottom w:type="dxa" w:w="60"/>
              <w:right w:type="dxa" w:w="100"/>
            </w:tcMar>
          </w:tcPr>
          <w:p>
            <w:pPr>
              <w:jc w:val="center"/>
            </w:pPr>
            <w:r>
              <w:rPr>
                <w:rFonts w:ascii="Garamond" w:cs="Garamond" w:eastAsia="Garamond" w:hAnsi="Garamond"/>
                <w:b w:val="false"/>
                <w:bCs w:val="false"/>
                <w:color w:val="1A1613"/>
                <w:sz w:val="18"/>
                <w:szCs w:val="18"/>
              </w:rPr>
              <w:t xml:space="preserve">N/A</w:t>
            </w:r>
          </w:p>
        </w:tc>
        <w:tc>
          <w:tcPr>
            <w:tcW w:type="dxa" w:w="2186"/>
            <w:tcBorders>
              <w:top w:val="single" w:color="D4CCC0" w:sz="1"/>
              <w:left w:val="single" w:color="D4CCC0" w:sz="1"/>
              <w:bottom w:val="single" w:color="D4CCC0" w:sz="1"/>
              <w:right w:val="single" w:color="D4CCC0" w:sz="1"/>
            </w:tcBorders>
            <w:tcMar>
              <w:top w:type="dxa" w:w="60"/>
              <w:left w:type="dxa" w:w="100"/>
              <w:bottom w:type="dxa" w:w="60"/>
              <w:right w:type="dxa" w:w="100"/>
            </w:tcMar>
          </w:tcPr>
          <w:p>
            <w:pPr>
              <w:jc w:val="center"/>
            </w:pPr>
            <w:r>
              <w:rPr>
                <w:rFonts w:ascii="Garamond" w:cs="Garamond" w:eastAsia="Garamond" w:hAnsi="Garamond"/>
                <w:b w:val="false"/>
                <w:bCs w:val="false"/>
                <w:color w:val="1A1613"/>
                <w:sz w:val="18"/>
                <w:szCs w:val="18"/>
              </w:rPr>
              <w:t xml:space="preserve">54.7%</w:t>
            </w:r>
          </w:p>
        </w:tc>
      </w:tr>
      <w:tr>
        <w:tc>
          <w:tcPr>
            <w:tcW w:type="dxa" w:w="3280"/>
            <w:tcBorders>
              <w:top w:val="single" w:color="D4CCC0" w:sz="1"/>
              <w:left w:val="single" w:color="D4CCC0" w:sz="1"/>
              <w:bottom w:val="single" w:color="D4CCC0" w:sz="1"/>
              <w:right w:val="single" w:color="D4CCC0" w:sz="1"/>
            </w:tcBorders>
            <w:tcMar>
              <w:top w:type="dxa" w:w="60"/>
              <w:left w:type="dxa" w:w="100"/>
              <w:bottom w:type="dxa" w:w="60"/>
              <w:right w:type="dxa" w:w="100"/>
            </w:tcMar>
          </w:tcPr>
          <w:p>
            <w:pPr>
              <w:jc w:val="left"/>
            </w:pPr>
            <w:r>
              <w:rPr>
                <w:rFonts w:ascii="Garamond" w:cs="Garamond" w:eastAsia="Garamond" w:hAnsi="Garamond"/>
                <w:b w:val="false"/>
                <w:bCs w:val="false"/>
                <w:color w:val="1A1613"/>
                <w:sz w:val="18"/>
                <w:szCs w:val="18"/>
              </w:rPr>
              <w:t xml:space="preserve">Total Signals Generated</w:t>
            </w:r>
          </w:p>
        </w:tc>
        <w:tc>
          <w:tcPr>
            <w:tcW w:type="dxa" w:w="2187"/>
            <w:tcBorders>
              <w:top w:val="single" w:color="D4CCC0" w:sz="1"/>
              <w:left w:val="single" w:color="D4CCC0" w:sz="1"/>
              <w:bottom w:val="single" w:color="D4CCC0" w:sz="1"/>
              <w:right w:val="single" w:color="D4CCC0" w:sz="1"/>
            </w:tcBorders>
            <w:tcMar>
              <w:top w:type="dxa" w:w="60"/>
              <w:left w:type="dxa" w:w="100"/>
              <w:bottom w:type="dxa" w:w="60"/>
              <w:right w:type="dxa" w:w="100"/>
            </w:tcMar>
          </w:tcPr>
          <w:p>
            <w:pPr>
              <w:jc w:val="center"/>
            </w:pPr>
            <w:r>
              <w:rPr>
                <w:rFonts w:ascii="Garamond" w:cs="Garamond" w:eastAsia="Garamond" w:hAnsi="Garamond"/>
                <w:b w:val="false"/>
                <w:bCs w:val="false"/>
                <w:color w:val="1A1613"/>
                <w:sz w:val="18"/>
                <w:szCs w:val="18"/>
              </w:rPr>
              <w:t xml:space="preserve">847</w:t>
            </w:r>
          </w:p>
        </w:tc>
        <w:tc>
          <w:tcPr>
            <w:tcW w:type="dxa" w:w="2187"/>
            <w:tcBorders>
              <w:top w:val="single" w:color="D4CCC0" w:sz="1"/>
              <w:left w:val="single" w:color="D4CCC0" w:sz="1"/>
              <w:bottom w:val="single" w:color="D4CCC0" w:sz="1"/>
              <w:right w:val="single" w:color="D4CCC0" w:sz="1"/>
            </w:tcBorders>
            <w:tcMar>
              <w:top w:type="dxa" w:w="60"/>
              <w:left w:type="dxa" w:w="100"/>
              <w:bottom w:type="dxa" w:w="60"/>
              <w:right w:type="dxa" w:w="100"/>
            </w:tcMar>
          </w:tcPr>
          <w:p>
            <w:pPr>
              <w:jc w:val="center"/>
            </w:pPr>
            <w:r>
              <w:rPr>
                <w:rFonts w:ascii="Garamond" w:cs="Garamond" w:eastAsia="Garamond" w:hAnsi="Garamond"/>
                <w:b w:val="false"/>
                <w:bCs w:val="false"/>
                <w:color w:val="1A1613"/>
                <w:sz w:val="18"/>
                <w:szCs w:val="18"/>
              </w:rPr>
              <w:t xml:space="preserve">N/A</w:t>
            </w:r>
          </w:p>
        </w:tc>
        <w:tc>
          <w:tcPr>
            <w:tcW w:type="dxa" w:w="2186"/>
            <w:tcBorders>
              <w:top w:val="single" w:color="D4CCC0" w:sz="1"/>
              <w:left w:val="single" w:color="D4CCC0" w:sz="1"/>
              <w:bottom w:val="single" w:color="D4CCC0" w:sz="1"/>
              <w:right w:val="single" w:color="D4CCC0" w:sz="1"/>
            </w:tcBorders>
            <w:tcMar>
              <w:top w:type="dxa" w:w="60"/>
              <w:left w:type="dxa" w:w="100"/>
              <w:bottom w:type="dxa" w:w="60"/>
              <w:right w:type="dxa" w:w="100"/>
            </w:tcMar>
          </w:tcPr>
          <w:p>
            <w:pPr>
              <w:jc w:val="center"/>
            </w:pPr>
            <w:r>
              <w:rPr>
                <w:rFonts w:ascii="Garamond" w:cs="Garamond" w:eastAsia="Garamond" w:hAnsi="Garamond"/>
                <w:b w:val="false"/>
                <w:bCs w:val="false"/>
                <w:color w:val="1A1613"/>
                <w:sz w:val="18"/>
                <w:szCs w:val="18"/>
              </w:rPr>
              <w:t xml:space="preserve">1,240</w:t>
            </w:r>
          </w:p>
        </w:tc>
      </w:tr>
      <w:tr>
        <w:tc>
          <w:tcPr>
            <w:tcW w:type="dxa" w:w="3280"/>
            <w:tcBorders>
              <w:top w:val="single" w:color="D4CCC0" w:sz="1"/>
              <w:left w:val="single" w:color="D4CCC0" w:sz="1"/>
              <w:bottom w:val="single" w:color="D4CCC0" w:sz="1"/>
              <w:right w:val="single" w:color="D4CCC0" w:sz="1"/>
            </w:tcBorders>
            <w:tcMar>
              <w:top w:type="dxa" w:w="60"/>
              <w:left w:type="dxa" w:w="100"/>
              <w:bottom w:type="dxa" w:w="60"/>
              <w:right w:type="dxa" w:w="100"/>
            </w:tcMar>
          </w:tcPr>
          <w:p>
            <w:pPr>
              <w:jc w:val="left"/>
            </w:pPr>
            <w:r>
              <w:rPr>
                <w:rFonts w:ascii="Garamond" w:cs="Garamond" w:eastAsia="Garamond" w:hAnsi="Garamond"/>
                <w:b w:val="false"/>
                <w:bCs w:val="false"/>
                <w:color w:val="1A1613"/>
                <w:sz w:val="18"/>
                <w:szCs w:val="18"/>
              </w:rPr>
              <w:t xml:space="preserve">Avg Trades per Month</w:t>
            </w:r>
          </w:p>
        </w:tc>
        <w:tc>
          <w:tcPr>
            <w:tcW w:type="dxa" w:w="2187"/>
            <w:tcBorders>
              <w:top w:val="single" w:color="D4CCC0" w:sz="1"/>
              <w:left w:val="single" w:color="D4CCC0" w:sz="1"/>
              <w:bottom w:val="single" w:color="D4CCC0" w:sz="1"/>
              <w:right w:val="single" w:color="D4CCC0" w:sz="1"/>
            </w:tcBorders>
            <w:tcMar>
              <w:top w:type="dxa" w:w="60"/>
              <w:left w:type="dxa" w:w="100"/>
              <w:bottom w:type="dxa" w:w="60"/>
              <w:right w:type="dxa" w:w="100"/>
            </w:tcMar>
          </w:tcPr>
          <w:p>
            <w:pPr>
              <w:jc w:val="center"/>
            </w:pPr>
            <w:r>
              <w:rPr>
                <w:rFonts w:ascii="Garamond" w:cs="Garamond" w:eastAsia="Garamond" w:hAnsi="Garamond"/>
                <w:b w:val="false"/>
                <w:bCs w:val="false"/>
                <w:color w:val="1A1613"/>
                <w:sz w:val="18"/>
                <w:szCs w:val="18"/>
              </w:rPr>
              <w:t xml:space="preserve">11.8</w:t>
            </w:r>
          </w:p>
        </w:tc>
        <w:tc>
          <w:tcPr>
            <w:tcW w:type="dxa" w:w="2187"/>
            <w:tcBorders>
              <w:top w:val="single" w:color="D4CCC0" w:sz="1"/>
              <w:left w:val="single" w:color="D4CCC0" w:sz="1"/>
              <w:bottom w:val="single" w:color="D4CCC0" w:sz="1"/>
              <w:right w:val="single" w:color="D4CCC0" w:sz="1"/>
            </w:tcBorders>
            <w:tcMar>
              <w:top w:type="dxa" w:w="60"/>
              <w:left w:type="dxa" w:w="100"/>
              <w:bottom w:type="dxa" w:w="60"/>
              <w:right w:type="dxa" w:w="100"/>
            </w:tcMar>
          </w:tcPr>
          <w:p>
            <w:pPr>
              <w:jc w:val="center"/>
            </w:pPr>
            <w:r>
              <w:rPr>
                <w:rFonts w:ascii="Garamond" w:cs="Garamond" w:eastAsia="Garamond" w:hAnsi="Garamond"/>
                <w:b w:val="false"/>
                <w:bCs w:val="false"/>
                <w:color w:val="1A1613"/>
                <w:sz w:val="18"/>
                <w:szCs w:val="18"/>
              </w:rPr>
              <w:t xml:space="preserve">0</w:t>
            </w:r>
          </w:p>
        </w:tc>
        <w:tc>
          <w:tcPr>
            <w:tcW w:type="dxa" w:w="2186"/>
            <w:tcBorders>
              <w:top w:val="single" w:color="D4CCC0" w:sz="1"/>
              <w:left w:val="single" w:color="D4CCC0" w:sz="1"/>
              <w:bottom w:val="single" w:color="D4CCC0" w:sz="1"/>
              <w:right w:val="single" w:color="D4CCC0" w:sz="1"/>
            </w:tcBorders>
            <w:tcMar>
              <w:top w:type="dxa" w:w="60"/>
              <w:left w:type="dxa" w:w="100"/>
              <w:bottom w:type="dxa" w:w="60"/>
              <w:right w:type="dxa" w:w="100"/>
            </w:tcMar>
          </w:tcPr>
          <w:p>
            <w:pPr>
              <w:jc w:val="center"/>
            </w:pPr>
            <w:r>
              <w:rPr>
                <w:rFonts w:ascii="Garamond" w:cs="Garamond" w:eastAsia="Garamond" w:hAnsi="Garamond"/>
                <w:b w:val="false"/>
                <w:bCs w:val="false"/>
                <w:color w:val="1A1613"/>
                <w:sz w:val="18"/>
                <w:szCs w:val="18"/>
              </w:rPr>
              <w:t xml:space="preserve">17.2</w:t>
            </w:r>
          </w:p>
        </w:tc>
      </w:tr>
      <w:tr>
        <w:tc>
          <w:tcPr>
            <w:tcW w:type="dxa" w:w="3280"/>
            <w:tcBorders>
              <w:top w:val="single" w:color="D4CCC0" w:sz="1"/>
              <w:left w:val="single" w:color="D4CCC0" w:sz="1"/>
              <w:bottom w:val="single" w:color="D4CCC0" w:sz="1"/>
              <w:right w:val="single" w:color="D4CCC0" w:sz="1"/>
            </w:tcBorders>
            <w:tcMar>
              <w:top w:type="dxa" w:w="60"/>
              <w:left w:type="dxa" w:w="100"/>
              <w:bottom w:type="dxa" w:w="60"/>
              <w:right w:type="dxa" w:w="100"/>
            </w:tcMar>
          </w:tcPr>
          <w:p>
            <w:pPr>
              <w:jc w:val="left"/>
            </w:pPr>
            <w:r>
              <w:rPr>
                <w:rFonts w:ascii="Garamond" w:cs="Garamond" w:eastAsia="Garamond" w:hAnsi="Garamond"/>
                <w:b w:val="false"/>
                <w:bCs w:val="false"/>
                <w:color w:val="1A1613"/>
                <w:sz w:val="18"/>
                <w:szCs w:val="18"/>
              </w:rPr>
              <w:t xml:space="preserve">Annual Turnover</w:t>
            </w:r>
          </w:p>
        </w:tc>
        <w:tc>
          <w:tcPr>
            <w:tcW w:type="dxa" w:w="2187"/>
            <w:tcBorders>
              <w:top w:val="single" w:color="D4CCC0" w:sz="1"/>
              <w:left w:val="single" w:color="D4CCC0" w:sz="1"/>
              <w:bottom w:val="single" w:color="D4CCC0" w:sz="1"/>
              <w:right w:val="single" w:color="D4CCC0" w:sz="1"/>
            </w:tcBorders>
            <w:tcMar>
              <w:top w:type="dxa" w:w="60"/>
              <w:left w:type="dxa" w:w="100"/>
              <w:bottom w:type="dxa" w:w="60"/>
              <w:right w:type="dxa" w:w="100"/>
            </w:tcMar>
          </w:tcPr>
          <w:p>
            <w:pPr>
              <w:jc w:val="center"/>
            </w:pPr>
            <w:r>
              <w:rPr>
                <w:rFonts w:ascii="Garamond" w:cs="Garamond" w:eastAsia="Garamond" w:hAnsi="Garamond"/>
                <w:b w:val="false"/>
                <w:bCs w:val="false"/>
                <w:color w:val="1A1613"/>
                <w:sz w:val="18"/>
                <w:szCs w:val="18"/>
              </w:rPr>
              <w:t xml:space="preserve">340%</w:t>
            </w:r>
          </w:p>
        </w:tc>
        <w:tc>
          <w:tcPr>
            <w:tcW w:type="dxa" w:w="2187"/>
            <w:tcBorders>
              <w:top w:val="single" w:color="D4CCC0" w:sz="1"/>
              <w:left w:val="single" w:color="D4CCC0" w:sz="1"/>
              <w:bottom w:val="single" w:color="D4CCC0" w:sz="1"/>
              <w:right w:val="single" w:color="D4CCC0" w:sz="1"/>
            </w:tcBorders>
            <w:tcMar>
              <w:top w:type="dxa" w:w="60"/>
              <w:left w:type="dxa" w:w="100"/>
              <w:bottom w:type="dxa" w:w="60"/>
              <w:right w:type="dxa" w:w="100"/>
            </w:tcMar>
          </w:tcPr>
          <w:p>
            <w:pPr>
              <w:jc w:val="center"/>
            </w:pPr>
            <w:r>
              <w:rPr>
                <w:rFonts w:ascii="Garamond" w:cs="Garamond" w:eastAsia="Garamond" w:hAnsi="Garamond"/>
                <w:b w:val="false"/>
                <w:bCs w:val="false"/>
                <w:color w:val="1A1613"/>
                <w:sz w:val="18"/>
                <w:szCs w:val="18"/>
              </w:rPr>
              <w:t xml:space="preserve">0%</w:t>
            </w:r>
          </w:p>
        </w:tc>
        <w:tc>
          <w:tcPr>
            <w:tcW w:type="dxa" w:w="2186"/>
            <w:tcBorders>
              <w:top w:val="single" w:color="D4CCC0" w:sz="1"/>
              <w:left w:val="single" w:color="D4CCC0" w:sz="1"/>
              <w:bottom w:val="single" w:color="D4CCC0" w:sz="1"/>
              <w:right w:val="single" w:color="D4CCC0" w:sz="1"/>
            </w:tcBorders>
            <w:tcMar>
              <w:top w:type="dxa" w:w="60"/>
              <w:left w:type="dxa" w:w="100"/>
              <w:bottom w:type="dxa" w:w="60"/>
              <w:right w:type="dxa" w:w="100"/>
            </w:tcMar>
          </w:tcPr>
          <w:p>
            <w:pPr>
              <w:jc w:val="center"/>
            </w:pPr>
            <w:r>
              <w:rPr>
                <w:rFonts w:ascii="Garamond" w:cs="Garamond" w:eastAsia="Garamond" w:hAnsi="Garamond"/>
                <w:b w:val="false"/>
                <w:bCs w:val="false"/>
                <w:color w:val="1A1613"/>
                <w:sz w:val="18"/>
                <w:szCs w:val="18"/>
              </w:rPr>
              <w:t xml:space="preserve">480%</w:t>
            </w:r>
          </w:p>
        </w:tc>
      </w:tr>
      <w:tr>
        <w:tc>
          <w:tcPr>
            <w:tcW w:type="dxa" w:w="3280"/>
            <w:tcBorders>
              <w:top w:val="single" w:color="D4CCC0" w:sz="1"/>
              <w:left w:val="single" w:color="D4CCC0" w:sz="1"/>
              <w:bottom w:val="single" w:color="D4CCC0" w:sz="1"/>
              <w:right w:val="single" w:color="D4CCC0" w:sz="1"/>
            </w:tcBorders>
            <w:tcMar>
              <w:top w:type="dxa" w:w="60"/>
              <w:left w:type="dxa" w:w="100"/>
              <w:bottom w:type="dxa" w:w="60"/>
              <w:right w:type="dxa" w:w="100"/>
            </w:tcMar>
          </w:tcPr>
          <w:p>
            <w:pPr>
              <w:jc w:val="left"/>
            </w:pPr>
            <w:r>
              <w:rPr>
                <w:rFonts w:ascii="Garamond" w:cs="Garamond" w:eastAsia="Garamond" w:hAnsi="Garamond"/>
                <w:b w:val="false"/>
                <w:bCs w:val="false"/>
                <w:color w:val="1A1613"/>
                <w:sz w:val="18"/>
                <w:szCs w:val="18"/>
              </w:rPr>
              <w:t xml:space="preserve">LONG Signal Win Rate</w:t>
            </w:r>
          </w:p>
        </w:tc>
        <w:tc>
          <w:tcPr>
            <w:tcW w:type="dxa" w:w="2187"/>
            <w:tcBorders>
              <w:top w:val="single" w:color="D4CCC0" w:sz="1"/>
              <w:left w:val="single" w:color="D4CCC0" w:sz="1"/>
              <w:bottom w:val="single" w:color="D4CCC0" w:sz="1"/>
              <w:right w:val="single" w:color="D4CCC0" w:sz="1"/>
            </w:tcBorders>
            <w:tcMar>
              <w:top w:type="dxa" w:w="60"/>
              <w:left w:type="dxa" w:w="100"/>
              <w:bottom w:type="dxa" w:w="60"/>
              <w:right w:type="dxa" w:w="100"/>
            </w:tcMar>
          </w:tcPr>
          <w:p>
            <w:pPr>
              <w:jc w:val="center"/>
            </w:pPr>
            <w:r>
              <w:rPr>
                <w:rFonts w:ascii="Garamond" w:cs="Garamond" w:eastAsia="Garamond" w:hAnsi="Garamond"/>
                <w:b w:val="false"/>
                <w:bCs w:val="false"/>
                <w:color w:val="1A1613"/>
                <w:sz w:val="18"/>
                <w:szCs w:val="18"/>
              </w:rPr>
              <w:t xml:space="preserve">61.2%</w:t>
            </w:r>
          </w:p>
        </w:tc>
        <w:tc>
          <w:tcPr>
            <w:tcW w:type="dxa" w:w="2187"/>
            <w:tcBorders>
              <w:top w:val="single" w:color="D4CCC0" w:sz="1"/>
              <w:left w:val="single" w:color="D4CCC0" w:sz="1"/>
              <w:bottom w:val="single" w:color="D4CCC0" w:sz="1"/>
              <w:right w:val="single" w:color="D4CCC0" w:sz="1"/>
            </w:tcBorders>
            <w:tcMar>
              <w:top w:type="dxa" w:w="60"/>
              <w:left w:type="dxa" w:w="100"/>
              <w:bottom w:type="dxa" w:w="60"/>
              <w:right w:type="dxa" w:w="100"/>
            </w:tcMar>
          </w:tcPr>
          <w:p>
            <w:pPr>
              <w:jc w:val="center"/>
            </w:pPr>
            <w:r>
              <w:rPr>
                <w:rFonts w:ascii="Garamond" w:cs="Garamond" w:eastAsia="Garamond" w:hAnsi="Garamond"/>
                <w:b w:val="false"/>
                <w:bCs w:val="false"/>
                <w:color w:val="1A1613"/>
                <w:sz w:val="18"/>
                <w:szCs w:val="18"/>
              </w:rPr>
              <w:t xml:space="preserve">N/A</w:t>
            </w:r>
          </w:p>
        </w:tc>
        <w:tc>
          <w:tcPr>
            <w:tcW w:type="dxa" w:w="2186"/>
            <w:tcBorders>
              <w:top w:val="single" w:color="D4CCC0" w:sz="1"/>
              <w:left w:val="single" w:color="D4CCC0" w:sz="1"/>
              <w:bottom w:val="single" w:color="D4CCC0" w:sz="1"/>
              <w:right w:val="single" w:color="D4CCC0" w:sz="1"/>
            </w:tcBorders>
            <w:tcMar>
              <w:top w:type="dxa" w:w="60"/>
              <w:left w:type="dxa" w:w="100"/>
              <w:bottom w:type="dxa" w:w="60"/>
              <w:right w:type="dxa" w:w="100"/>
            </w:tcMar>
          </w:tcPr>
          <w:p>
            <w:pPr>
              <w:jc w:val="center"/>
            </w:pPr>
            <w:r>
              <w:rPr>
                <w:rFonts w:ascii="Garamond" w:cs="Garamond" w:eastAsia="Garamond" w:hAnsi="Garamond"/>
                <w:b w:val="false"/>
                <w:bCs w:val="false"/>
                <w:color w:val="1A1613"/>
                <w:sz w:val="18"/>
                <w:szCs w:val="18"/>
              </w:rPr>
              <w:t xml:space="preserve">55.8%</w:t>
            </w:r>
          </w:p>
        </w:tc>
      </w:tr>
      <w:tr>
        <w:tc>
          <w:tcPr>
            <w:tcW w:type="dxa" w:w="3280"/>
            <w:tcBorders>
              <w:top w:val="single" w:color="D4CCC0" w:sz="1"/>
              <w:left w:val="single" w:color="D4CCC0" w:sz="1"/>
              <w:bottom w:val="single" w:color="D4CCC0" w:sz="1"/>
              <w:right w:val="single" w:color="D4CCC0" w:sz="1"/>
            </w:tcBorders>
            <w:tcMar>
              <w:top w:type="dxa" w:w="60"/>
              <w:left w:type="dxa" w:w="100"/>
              <w:bottom w:type="dxa" w:w="60"/>
              <w:right w:type="dxa" w:w="100"/>
            </w:tcMar>
          </w:tcPr>
          <w:p>
            <w:pPr>
              <w:jc w:val="left"/>
            </w:pPr>
            <w:r>
              <w:rPr>
                <w:rFonts w:ascii="Garamond" w:cs="Garamond" w:eastAsia="Garamond" w:hAnsi="Garamond"/>
                <w:b w:val="false"/>
                <w:bCs w:val="false"/>
                <w:color w:val="1A1613"/>
                <w:sz w:val="18"/>
                <w:szCs w:val="18"/>
              </w:rPr>
              <w:t xml:space="preserve">INVERSE/SHORT Win Rate</w:t>
            </w:r>
          </w:p>
        </w:tc>
        <w:tc>
          <w:tcPr>
            <w:tcW w:type="dxa" w:w="2187"/>
            <w:tcBorders>
              <w:top w:val="single" w:color="D4CCC0" w:sz="1"/>
              <w:left w:val="single" w:color="D4CCC0" w:sz="1"/>
              <w:bottom w:val="single" w:color="D4CCC0" w:sz="1"/>
              <w:right w:val="single" w:color="D4CCC0" w:sz="1"/>
            </w:tcBorders>
            <w:tcMar>
              <w:top w:type="dxa" w:w="60"/>
              <w:left w:type="dxa" w:w="100"/>
              <w:bottom w:type="dxa" w:w="60"/>
              <w:right w:type="dxa" w:w="100"/>
            </w:tcMar>
          </w:tcPr>
          <w:p>
            <w:pPr>
              <w:jc w:val="center"/>
            </w:pPr>
            <w:r>
              <w:rPr>
                <w:rFonts w:ascii="Garamond" w:cs="Garamond" w:eastAsia="Garamond" w:hAnsi="Garamond"/>
                <w:b w:val="false"/>
                <w:bCs w:val="false"/>
                <w:color w:val="1A1613"/>
                <w:sz w:val="18"/>
                <w:szCs w:val="18"/>
              </w:rPr>
              <w:t xml:space="preserve">53.1%</w:t>
            </w:r>
          </w:p>
        </w:tc>
        <w:tc>
          <w:tcPr>
            <w:tcW w:type="dxa" w:w="2187"/>
            <w:tcBorders>
              <w:top w:val="single" w:color="D4CCC0" w:sz="1"/>
              <w:left w:val="single" w:color="D4CCC0" w:sz="1"/>
              <w:bottom w:val="single" w:color="D4CCC0" w:sz="1"/>
              <w:right w:val="single" w:color="D4CCC0" w:sz="1"/>
            </w:tcBorders>
            <w:tcMar>
              <w:top w:type="dxa" w:w="60"/>
              <w:left w:type="dxa" w:w="100"/>
              <w:bottom w:type="dxa" w:w="60"/>
              <w:right w:type="dxa" w:w="100"/>
            </w:tcMar>
          </w:tcPr>
          <w:p>
            <w:pPr>
              <w:jc w:val="center"/>
            </w:pPr>
            <w:r>
              <w:rPr>
                <w:rFonts w:ascii="Garamond" w:cs="Garamond" w:eastAsia="Garamond" w:hAnsi="Garamond"/>
                <w:b w:val="false"/>
                <w:bCs w:val="false"/>
                <w:color w:val="1A1613"/>
                <w:sz w:val="18"/>
                <w:szCs w:val="18"/>
              </w:rPr>
              <w:t xml:space="preserve">N/A</w:t>
            </w:r>
          </w:p>
        </w:tc>
        <w:tc>
          <w:tcPr>
            <w:tcW w:type="dxa" w:w="2186"/>
            <w:tcBorders>
              <w:top w:val="single" w:color="D4CCC0" w:sz="1"/>
              <w:left w:val="single" w:color="D4CCC0" w:sz="1"/>
              <w:bottom w:val="single" w:color="D4CCC0" w:sz="1"/>
              <w:right w:val="single" w:color="D4CCC0" w:sz="1"/>
            </w:tcBorders>
            <w:tcMar>
              <w:top w:type="dxa" w:w="60"/>
              <w:left w:type="dxa" w:w="100"/>
              <w:bottom w:type="dxa" w:w="60"/>
              <w:right w:type="dxa" w:w="100"/>
            </w:tcMar>
          </w:tcPr>
          <w:p>
            <w:pPr>
              <w:jc w:val="center"/>
            </w:pPr>
            <w:r>
              <w:rPr>
                <w:rFonts w:ascii="Garamond" w:cs="Garamond" w:eastAsia="Garamond" w:hAnsi="Garamond"/>
                <w:b w:val="false"/>
                <w:bCs w:val="false"/>
                <w:color w:val="1A1613"/>
                <w:sz w:val="18"/>
                <w:szCs w:val="18"/>
              </w:rPr>
              <w:t xml:space="preserve">N/A</w:t>
            </w:r>
          </w:p>
        </w:tc>
      </w:tr>
      <w:tr>
        <w:tc>
          <w:tcPr>
            <w:tcW w:type="dxa" w:w="3280"/>
            <w:tcBorders>
              <w:top w:val="single" w:color="D4CCC0" w:sz="1"/>
              <w:left w:val="single" w:color="D4CCC0" w:sz="1"/>
              <w:bottom w:val="single" w:color="D4CCC0" w:sz="1"/>
              <w:right w:val="single" w:color="D4CCC0" w:sz="1"/>
            </w:tcBorders>
            <w:tcMar>
              <w:top w:type="dxa" w:w="60"/>
              <w:left w:type="dxa" w:w="100"/>
              <w:bottom w:type="dxa" w:w="60"/>
              <w:right w:type="dxa" w:w="100"/>
            </w:tcMar>
          </w:tcPr>
          <w:p>
            <w:pPr>
              <w:jc w:val="left"/>
            </w:pPr>
            <w:r>
              <w:rPr>
                <w:rFonts w:ascii="Garamond" w:cs="Garamond" w:eastAsia="Garamond" w:hAnsi="Garamond"/>
                <w:b w:val="false"/>
                <w:bCs w:val="false"/>
                <w:color w:val="1A1613"/>
                <w:sz w:val="18"/>
                <w:szCs w:val="18"/>
              </w:rPr>
              <w:t xml:space="preserve">Steady Regime Win Rate</w:t>
            </w:r>
          </w:p>
        </w:tc>
        <w:tc>
          <w:tcPr>
            <w:tcW w:type="dxa" w:w="2187"/>
            <w:tcBorders>
              <w:top w:val="single" w:color="D4CCC0" w:sz="1"/>
              <w:left w:val="single" w:color="D4CCC0" w:sz="1"/>
              <w:bottom w:val="single" w:color="D4CCC0" w:sz="1"/>
              <w:right w:val="single" w:color="D4CCC0" w:sz="1"/>
            </w:tcBorders>
            <w:tcMar>
              <w:top w:type="dxa" w:w="60"/>
              <w:left w:type="dxa" w:w="100"/>
              <w:bottom w:type="dxa" w:w="60"/>
              <w:right w:type="dxa" w:w="100"/>
            </w:tcMar>
          </w:tcPr>
          <w:p>
            <w:pPr>
              <w:jc w:val="center"/>
            </w:pPr>
            <w:r>
              <w:rPr>
                <w:rFonts w:ascii="Garamond" w:cs="Garamond" w:eastAsia="Garamond" w:hAnsi="Garamond"/>
                <w:b w:val="false"/>
                <w:bCs w:val="false"/>
                <w:color w:val="1A1613"/>
                <w:sz w:val="18"/>
                <w:szCs w:val="18"/>
              </w:rPr>
              <w:t xml:space="preserve">60.7%</w:t>
            </w:r>
          </w:p>
        </w:tc>
        <w:tc>
          <w:tcPr>
            <w:tcW w:type="dxa" w:w="2187"/>
            <w:tcBorders>
              <w:top w:val="single" w:color="D4CCC0" w:sz="1"/>
              <w:left w:val="single" w:color="D4CCC0" w:sz="1"/>
              <w:bottom w:val="single" w:color="D4CCC0" w:sz="1"/>
              <w:right w:val="single" w:color="D4CCC0" w:sz="1"/>
            </w:tcBorders>
            <w:tcMar>
              <w:top w:type="dxa" w:w="60"/>
              <w:left w:type="dxa" w:w="100"/>
              <w:bottom w:type="dxa" w:w="60"/>
              <w:right w:type="dxa" w:w="100"/>
            </w:tcMar>
          </w:tcPr>
          <w:p>
            <w:pPr>
              <w:jc w:val="center"/>
            </w:pPr>
            <w:r>
              <w:rPr>
                <w:rFonts w:ascii="Garamond" w:cs="Garamond" w:eastAsia="Garamond" w:hAnsi="Garamond"/>
                <w:b w:val="false"/>
                <w:bCs w:val="false"/>
                <w:color w:val="1A1613"/>
                <w:sz w:val="18"/>
                <w:szCs w:val="18"/>
              </w:rPr>
              <w:t xml:space="preserve">N/A</w:t>
            </w:r>
          </w:p>
        </w:tc>
        <w:tc>
          <w:tcPr>
            <w:tcW w:type="dxa" w:w="2186"/>
            <w:tcBorders>
              <w:top w:val="single" w:color="D4CCC0" w:sz="1"/>
              <w:left w:val="single" w:color="D4CCC0" w:sz="1"/>
              <w:bottom w:val="single" w:color="D4CCC0" w:sz="1"/>
              <w:right w:val="single" w:color="D4CCC0" w:sz="1"/>
            </w:tcBorders>
            <w:tcMar>
              <w:top w:type="dxa" w:w="60"/>
              <w:left w:type="dxa" w:w="100"/>
              <w:bottom w:type="dxa" w:w="60"/>
              <w:right w:type="dxa" w:w="100"/>
            </w:tcMar>
          </w:tcPr>
          <w:p>
            <w:pPr>
              <w:jc w:val="center"/>
            </w:pPr>
            <w:r>
              <w:rPr>
                <w:rFonts w:ascii="Garamond" w:cs="Garamond" w:eastAsia="Garamond" w:hAnsi="Garamond"/>
                <w:b w:val="false"/>
                <w:bCs w:val="false"/>
                <w:color w:val="1A1613"/>
                <w:sz w:val="18"/>
                <w:szCs w:val="18"/>
              </w:rPr>
              <w:t xml:space="preserve">56.1%</w:t>
            </w:r>
          </w:p>
        </w:tc>
      </w:tr>
      <w:tr>
        <w:tc>
          <w:tcPr>
            <w:tcW w:type="dxa" w:w="3280"/>
            <w:tcBorders>
              <w:top w:val="single" w:color="D4CCC0" w:sz="1"/>
              <w:left w:val="single" w:color="D4CCC0" w:sz="1"/>
              <w:bottom w:val="single" w:color="D4CCC0" w:sz="1"/>
              <w:right w:val="single" w:color="D4CCC0" w:sz="1"/>
            </w:tcBorders>
            <w:tcMar>
              <w:top w:type="dxa" w:w="60"/>
              <w:left w:type="dxa" w:w="100"/>
              <w:bottom w:type="dxa" w:w="60"/>
              <w:right w:type="dxa" w:w="100"/>
            </w:tcMar>
          </w:tcPr>
          <w:p>
            <w:pPr>
              <w:jc w:val="left"/>
            </w:pPr>
            <w:r>
              <w:rPr>
                <w:rFonts w:ascii="Garamond" w:cs="Garamond" w:eastAsia="Garamond" w:hAnsi="Garamond"/>
                <w:b w:val="false"/>
                <w:bCs w:val="false"/>
                <w:color w:val="1A1613"/>
                <w:sz w:val="18"/>
                <w:szCs w:val="18"/>
              </w:rPr>
              <w:t xml:space="preserve">Turbulent Regime Win Rate</w:t>
            </w:r>
          </w:p>
        </w:tc>
        <w:tc>
          <w:tcPr>
            <w:tcW w:type="dxa" w:w="2187"/>
            <w:tcBorders>
              <w:top w:val="single" w:color="D4CCC0" w:sz="1"/>
              <w:left w:val="single" w:color="D4CCC0" w:sz="1"/>
              <w:bottom w:val="single" w:color="D4CCC0" w:sz="1"/>
              <w:right w:val="single" w:color="D4CCC0" w:sz="1"/>
            </w:tcBorders>
            <w:tcMar>
              <w:top w:type="dxa" w:w="60"/>
              <w:left w:type="dxa" w:w="100"/>
              <w:bottom w:type="dxa" w:w="60"/>
              <w:right w:type="dxa" w:w="100"/>
            </w:tcMar>
          </w:tcPr>
          <w:p>
            <w:pPr>
              <w:jc w:val="center"/>
            </w:pPr>
            <w:r>
              <w:rPr>
                <w:rFonts w:ascii="Garamond" w:cs="Garamond" w:eastAsia="Garamond" w:hAnsi="Garamond"/>
                <w:b w:val="false"/>
                <w:bCs w:val="false"/>
                <w:color w:val="1A1613"/>
                <w:sz w:val="18"/>
                <w:szCs w:val="18"/>
              </w:rPr>
              <w:t xml:space="preserve">55.8%</w:t>
            </w:r>
          </w:p>
        </w:tc>
        <w:tc>
          <w:tcPr>
            <w:tcW w:type="dxa" w:w="2187"/>
            <w:tcBorders>
              <w:top w:val="single" w:color="D4CCC0" w:sz="1"/>
              <w:left w:val="single" w:color="D4CCC0" w:sz="1"/>
              <w:bottom w:val="single" w:color="D4CCC0" w:sz="1"/>
              <w:right w:val="single" w:color="D4CCC0" w:sz="1"/>
            </w:tcBorders>
            <w:tcMar>
              <w:top w:type="dxa" w:w="60"/>
              <w:left w:type="dxa" w:w="100"/>
              <w:bottom w:type="dxa" w:w="60"/>
              <w:right w:type="dxa" w:w="100"/>
            </w:tcMar>
          </w:tcPr>
          <w:p>
            <w:pPr>
              <w:jc w:val="center"/>
            </w:pPr>
            <w:r>
              <w:rPr>
                <w:rFonts w:ascii="Garamond" w:cs="Garamond" w:eastAsia="Garamond" w:hAnsi="Garamond"/>
                <w:b w:val="false"/>
                <w:bCs w:val="false"/>
                <w:color w:val="1A1613"/>
                <w:sz w:val="18"/>
                <w:szCs w:val="18"/>
              </w:rPr>
              <w:t xml:space="preserve">N/A</w:t>
            </w:r>
          </w:p>
        </w:tc>
        <w:tc>
          <w:tcPr>
            <w:tcW w:type="dxa" w:w="2186"/>
            <w:tcBorders>
              <w:top w:val="single" w:color="D4CCC0" w:sz="1"/>
              <w:left w:val="single" w:color="D4CCC0" w:sz="1"/>
              <w:bottom w:val="single" w:color="D4CCC0" w:sz="1"/>
              <w:right w:val="single" w:color="D4CCC0" w:sz="1"/>
            </w:tcBorders>
            <w:tcMar>
              <w:top w:type="dxa" w:w="60"/>
              <w:left w:type="dxa" w:w="100"/>
              <w:bottom w:type="dxa" w:w="60"/>
              <w:right w:type="dxa" w:w="100"/>
            </w:tcMar>
          </w:tcPr>
          <w:p>
            <w:pPr>
              <w:jc w:val="center"/>
            </w:pPr>
            <w:r>
              <w:rPr>
                <w:rFonts w:ascii="Garamond" w:cs="Garamond" w:eastAsia="Garamond" w:hAnsi="Garamond"/>
                <w:b w:val="false"/>
                <w:bCs w:val="false"/>
                <w:color w:val="1A1613"/>
                <w:sz w:val="18"/>
                <w:szCs w:val="18"/>
              </w:rPr>
              <w:t xml:space="preserve">52.3%</w:t>
            </w:r>
          </w:p>
        </w:tc>
      </w:tr>
      <w:tr>
        <w:tc>
          <w:tcPr>
            <w:tcW w:type="dxa" w:w="3280"/>
            <w:tcBorders>
              <w:top w:val="single" w:color="D4CCC0" w:sz="1"/>
              <w:left w:val="single" w:color="D4CCC0" w:sz="1"/>
              <w:bottom w:val="single" w:color="D4CCC0" w:sz="1"/>
              <w:right w:val="single" w:color="D4CCC0" w:sz="1"/>
            </w:tcBorders>
            <w:tcMar>
              <w:top w:type="dxa" w:w="60"/>
              <w:left w:type="dxa" w:w="100"/>
              <w:bottom w:type="dxa" w:w="60"/>
              <w:right w:type="dxa" w:w="100"/>
            </w:tcMar>
          </w:tcPr>
          <w:p>
            <w:pPr>
              <w:jc w:val="left"/>
            </w:pPr>
            <w:r>
              <w:rPr>
                <w:rFonts w:ascii="Garamond" w:cs="Garamond" w:eastAsia="Garamond" w:hAnsi="Garamond"/>
                <w:b w:val="false"/>
                <w:bCs w:val="false"/>
                <w:color w:val="1A1613"/>
                <w:sz w:val="18"/>
                <w:szCs w:val="18"/>
              </w:rPr>
              <w:t xml:space="preserve">Crisis Regime Win Rate</w:t>
            </w:r>
          </w:p>
        </w:tc>
        <w:tc>
          <w:tcPr>
            <w:tcW w:type="dxa" w:w="2187"/>
            <w:tcBorders>
              <w:top w:val="single" w:color="D4CCC0" w:sz="1"/>
              <w:left w:val="single" w:color="D4CCC0" w:sz="1"/>
              <w:bottom w:val="single" w:color="D4CCC0" w:sz="1"/>
              <w:right w:val="single" w:color="D4CCC0" w:sz="1"/>
            </w:tcBorders>
            <w:tcMar>
              <w:top w:type="dxa" w:w="60"/>
              <w:left w:type="dxa" w:w="100"/>
              <w:bottom w:type="dxa" w:w="60"/>
              <w:right w:type="dxa" w:w="100"/>
            </w:tcMar>
          </w:tcPr>
          <w:p>
            <w:pPr>
              <w:jc w:val="center"/>
            </w:pPr>
            <w:r>
              <w:rPr>
                <w:rFonts w:ascii="Garamond" w:cs="Garamond" w:eastAsia="Garamond" w:hAnsi="Garamond"/>
                <w:b w:val="false"/>
                <w:bCs w:val="false"/>
                <w:color w:val="1A1613"/>
                <w:sz w:val="18"/>
                <w:szCs w:val="18"/>
              </w:rPr>
              <w:t xml:space="preserve">51.2%</w:t>
            </w:r>
          </w:p>
        </w:tc>
        <w:tc>
          <w:tcPr>
            <w:tcW w:type="dxa" w:w="2187"/>
            <w:tcBorders>
              <w:top w:val="single" w:color="D4CCC0" w:sz="1"/>
              <w:left w:val="single" w:color="D4CCC0" w:sz="1"/>
              <w:bottom w:val="single" w:color="D4CCC0" w:sz="1"/>
              <w:right w:val="single" w:color="D4CCC0" w:sz="1"/>
            </w:tcBorders>
            <w:tcMar>
              <w:top w:type="dxa" w:w="60"/>
              <w:left w:type="dxa" w:w="100"/>
              <w:bottom w:type="dxa" w:w="60"/>
              <w:right w:type="dxa" w:w="100"/>
            </w:tcMar>
          </w:tcPr>
          <w:p>
            <w:pPr>
              <w:jc w:val="center"/>
            </w:pPr>
            <w:r>
              <w:rPr>
                <w:rFonts w:ascii="Garamond" w:cs="Garamond" w:eastAsia="Garamond" w:hAnsi="Garamond"/>
                <w:b w:val="false"/>
                <w:bCs w:val="false"/>
                <w:color w:val="1A1613"/>
                <w:sz w:val="18"/>
                <w:szCs w:val="18"/>
              </w:rPr>
              <w:t xml:space="preserve">N/A</w:t>
            </w:r>
          </w:p>
        </w:tc>
        <w:tc>
          <w:tcPr>
            <w:tcW w:type="dxa" w:w="2186"/>
            <w:tcBorders>
              <w:top w:val="single" w:color="D4CCC0" w:sz="1"/>
              <w:left w:val="single" w:color="D4CCC0" w:sz="1"/>
              <w:bottom w:val="single" w:color="D4CCC0" w:sz="1"/>
              <w:right w:val="single" w:color="D4CCC0" w:sz="1"/>
            </w:tcBorders>
            <w:tcMar>
              <w:top w:type="dxa" w:w="60"/>
              <w:left w:type="dxa" w:w="100"/>
              <w:bottom w:type="dxa" w:w="60"/>
              <w:right w:type="dxa" w:w="100"/>
            </w:tcMar>
          </w:tcPr>
          <w:p>
            <w:pPr>
              <w:jc w:val="center"/>
            </w:pPr>
            <w:r>
              <w:rPr>
                <w:rFonts w:ascii="Garamond" w:cs="Garamond" w:eastAsia="Garamond" w:hAnsi="Garamond"/>
                <w:b w:val="false"/>
                <w:bCs w:val="false"/>
                <w:color w:val="1A1613"/>
                <w:sz w:val="18"/>
                <w:szCs w:val="18"/>
              </w:rPr>
              <w:t xml:space="preserve">48.9%</w:t>
            </w:r>
          </w:p>
        </w:tc>
      </w:tr>
      <w:tr>
        <w:tc>
          <w:tcPr>
            <w:tcW w:type="dxa" w:w="3280"/>
            <w:tcBorders>
              <w:top w:val="single" w:color="D4CCC0" w:sz="1"/>
              <w:left w:val="single" w:color="D4CCC0" w:sz="1"/>
              <w:bottom w:val="single" w:color="D4CCC0" w:sz="1"/>
              <w:right w:val="single" w:color="D4CCC0" w:sz="1"/>
            </w:tcBorders>
            <w:tcMar>
              <w:top w:type="dxa" w:w="60"/>
              <w:left w:type="dxa" w:w="100"/>
              <w:bottom w:type="dxa" w:w="60"/>
              <w:right w:type="dxa" w:w="100"/>
            </w:tcMar>
          </w:tcPr>
          <w:p>
            <w:pPr>
              <w:jc w:val="left"/>
            </w:pPr>
            <w:r>
              <w:rPr>
                <w:rFonts w:ascii="Garamond" w:cs="Garamond" w:eastAsia="Garamond" w:hAnsi="Garamond"/>
                <w:b w:val="false"/>
                <w:bCs w:val="false"/>
                <w:color w:val="1A1613"/>
                <w:sz w:val="18"/>
                <w:szCs w:val="18"/>
              </w:rPr>
              <w:t xml:space="preserve">Correlation to SPY</w:t>
            </w:r>
          </w:p>
        </w:tc>
        <w:tc>
          <w:tcPr>
            <w:tcW w:type="dxa" w:w="2187"/>
            <w:tcBorders>
              <w:top w:val="single" w:color="D4CCC0" w:sz="1"/>
              <w:left w:val="single" w:color="D4CCC0" w:sz="1"/>
              <w:bottom w:val="single" w:color="D4CCC0" w:sz="1"/>
              <w:right w:val="single" w:color="D4CCC0" w:sz="1"/>
            </w:tcBorders>
            <w:tcMar>
              <w:top w:type="dxa" w:w="60"/>
              <w:left w:type="dxa" w:w="100"/>
              <w:bottom w:type="dxa" w:w="60"/>
              <w:right w:type="dxa" w:w="100"/>
            </w:tcMar>
          </w:tcPr>
          <w:p>
            <w:pPr>
              <w:jc w:val="center"/>
            </w:pPr>
            <w:r>
              <w:rPr>
                <w:rFonts w:ascii="Garamond" w:cs="Garamond" w:eastAsia="Garamond" w:hAnsi="Garamond"/>
                <w:b w:val="false"/>
                <w:bCs w:val="false"/>
                <w:color w:val="1A1613"/>
                <w:sz w:val="18"/>
                <w:szCs w:val="18"/>
              </w:rPr>
              <w:t xml:space="preserve">0.41</w:t>
            </w:r>
          </w:p>
        </w:tc>
        <w:tc>
          <w:tcPr>
            <w:tcW w:type="dxa" w:w="2187"/>
            <w:tcBorders>
              <w:top w:val="single" w:color="D4CCC0" w:sz="1"/>
              <w:left w:val="single" w:color="D4CCC0" w:sz="1"/>
              <w:bottom w:val="single" w:color="D4CCC0" w:sz="1"/>
              <w:right w:val="single" w:color="D4CCC0" w:sz="1"/>
            </w:tcBorders>
            <w:tcMar>
              <w:top w:type="dxa" w:w="60"/>
              <w:left w:type="dxa" w:w="100"/>
              <w:bottom w:type="dxa" w:w="60"/>
              <w:right w:type="dxa" w:w="100"/>
            </w:tcMar>
          </w:tcPr>
          <w:p>
            <w:pPr>
              <w:jc w:val="center"/>
            </w:pPr>
            <w:r>
              <w:rPr>
                <w:rFonts w:ascii="Garamond" w:cs="Garamond" w:eastAsia="Garamond" w:hAnsi="Garamond"/>
                <w:b w:val="false"/>
                <w:bCs w:val="false"/>
                <w:color w:val="1A1613"/>
                <w:sz w:val="18"/>
                <w:szCs w:val="18"/>
              </w:rPr>
              <w:t xml:space="preserve">1.00</w:t>
            </w:r>
          </w:p>
        </w:tc>
        <w:tc>
          <w:tcPr>
            <w:tcW w:type="dxa" w:w="2186"/>
            <w:tcBorders>
              <w:top w:val="single" w:color="D4CCC0" w:sz="1"/>
              <w:left w:val="single" w:color="D4CCC0" w:sz="1"/>
              <w:bottom w:val="single" w:color="D4CCC0" w:sz="1"/>
              <w:right w:val="single" w:color="D4CCC0" w:sz="1"/>
            </w:tcBorders>
            <w:tcMar>
              <w:top w:type="dxa" w:w="60"/>
              <w:left w:type="dxa" w:w="100"/>
              <w:bottom w:type="dxa" w:w="60"/>
              <w:right w:type="dxa" w:w="100"/>
            </w:tcMar>
          </w:tcPr>
          <w:p>
            <w:pPr>
              <w:jc w:val="center"/>
            </w:pPr>
            <w:r>
              <w:rPr>
                <w:rFonts w:ascii="Garamond" w:cs="Garamond" w:eastAsia="Garamond" w:hAnsi="Garamond"/>
                <w:b w:val="false"/>
                <w:bCs w:val="false"/>
                <w:color w:val="1A1613"/>
                <w:sz w:val="18"/>
                <w:szCs w:val="18"/>
              </w:rPr>
              <w:t xml:space="preserve">0.67</w:t>
            </w:r>
          </w:p>
        </w:tc>
      </w:tr>
    </w:tbl>
    <w:p>
      <w:pPr>
        <w:spacing w:after="40" w:before="0"/>
      </w:pPr>
      <w:r>
        <w:rPr>
          <w:rFonts w:ascii="Garamond" w:cs="Garamond" w:eastAsia="Garamond" w:hAnsi="Garamond"/>
          <w:b w:val="false"/>
          <w:bCs w:val="false"/>
          <w:i w:val="false"/>
          <w:iCs w:val="false"/>
          <w:color w:val="1A1613"/>
          <w:sz w:val="20"/>
          <w:szCs w:val="20"/>
        </w:rPr>
        <w:t xml:space="preserve"/>
      </w:r>
    </w:p>
    <w:p>
      <w:pPr>
        <w:spacing w:after="140" w:before="0"/>
      </w:pPr>
      <w:r>
        <w:rPr>
          <w:rFonts w:ascii="Garamond" w:cs="Garamond" w:eastAsia="Garamond" w:hAnsi="Garamond"/>
          <w:b/>
          <w:bCs/>
          <w:i w:val="false"/>
          <w:iCs w:val="false"/>
          <w:color w:val="1A1613"/>
          <w:sz w:val="20"/>
          <w:szCs w:val="20"/>
        </w:rPr>
        <w:t xml:space="preserve">Benchmarks: </w:t>
      </w:r>
      <w:r>
        <w:rPr>
          <w:rFonts w:ascii="Garamond" w:cs="Garamond" w:eastAsia="Garamond" w:hAnsi="Garamond"/>
          <w:b w:val="false"/>
          <w:bCs w:val="false"/>
          <w:i w:val="false"/>
          <w:iCs w:val="false"/>
          <w:color w:val="1A1613"/>
          <w:sz w:val="20"/>
          <w:szCs w:val="20"/>
        </w:rPr>
        <w:t xml:space="preserve">SPY Buy &amp; Hold represents passive S&amp;P 500 exposure. Congress Copy represents a naive strategy that mirrors all disclosed congressional trades at filing date with equal weighting, no convergence filtering, and long-only positioning. AURE's lower correlation to SPY (0.41 vs. 0.67) reflects the contribution of inverse positioning during bearish regimes.</w:t>
      </w:r>
    </w:p>
    <w:p>
      <w:pPr>
        <w:spacing w:after="140" w:before="0"/>
      </w:pPr>
      <w:r>
        <w:rPr>
          <w:rFonts w:ascii="Garamond" w:cs="Garamond" w:eastAsia="Garamond" w:hAnsi="Garamond"/>
          <w:b/>
          <w:bCs/>
          <w:i w:val="false"/>
          <w:iCs w:val="false"/>
          <w:color w:val="1A1613"/>
          <w:sz w:val="20"/>
          <w:szCs w:val="20"/>
        </w:rPr>
        <w:t xml:space="preserve">Key limitation: </w:t>
      </w:r>
      <w:r>
        <w:rPr>
          <w:rFonts w:ascii="Garamond" w:cs="Garamond" w:eastAsia="Garamond" w:hAnsi="Garamond"/>
          <w:b w:val="false"/>
          <w:bCs w:val="false"/>
          <w:i w:val="false"/>
          <w:iCs w:val="false"/>
          <w:color w:val="1A1613"/>
          <w:sz w:val="20"/>
          <w:szCs w:val="20"/>
        </w:rPr>
        <w:t xml:space="preserve">The backtest assumes availability of all data sources throughout the period. In practice, Unusual Whales and some Quiver endpoints were not available for the full 2020-2025 period; proxy data was constructed from FINRA dark pool aggregate reports and historical PTR filings respectively. This introduces additional uncertainty in the early portion of the backtest.</w:t>
      </w:r>
    </w:p>
    <w:p>
      <w:pPr>
        <w:pStyle w:val="Heading3"/>
        <w:spacing w:after="140" w:before="0"/>
      </w:pPr>
      <w:r>
        <w:rPr>
          <w:rFonts w:ascii="Garamond" w:cs="Garamond" w:eastAsia="Garamond" w:hAnsi="Garamond"/>
          <w:b w:val="false"/>
          <w:bCs w:val="false"/>
          <w:i w:val="false"/>
          <w:iCs w:val="false"/>
          <w:color w:val="1A1613"/>
          <w:sz w:val="20"/>
          <w:szCs w:val="20"/>
        </w:rPr>
        <w:t xml:space="preserve">Paper Trading (In Progress)</w:t>
      </w:r>
    </w:p>
    <w:p>
      <w:pPr>
        <w:spacing w:after="200" w:before="0"/>
      </w:pPr>
      <w:r>
        <w:rPr>
          <w:rFonts w:ascii="Garamond" w:cs="Garamond" w:eastAsia="Garamond" w:hAnsi="Garamond"/>
          <w:b w:val="false"/>
          <w:bCs w:val="false"/>
          <w:i w:val="false"/>
          <w:iCs w:val="false"/>
          <w:color w:val="1A1613"/>
          <w:sz w:val="20"/>
          <w:szCs w:val="20"/>
        </w:rPr>
        <w:t xml:space="preserve">AURE entered paper trading via Alpaca Paper API on [date to be inserted] with $1,000 initial capital. The paper trading phase will run for a minimum of 90 days. Results will be published when the minimum observation period, including at least one VIX regime change, is complete. No paper trading results are reported at this time.</w:t>
      </w:r>
    </w:p>
    <w:p>
      <w:r>
        <w:br w:type="page"/>
      </w:r>
    </w:p>
    <w:p>
      <w:pPr>
        <w:pStyle w:val="Heading1"/>
        <w:spacing w:after="140" w:before="0"/>
      </w:pPr>
      <w:r>
        <w:rPr>
          <w:rFonts w:ascii="Garamond" w:cs="Garamond" w:eastAsia="Garamond" w:hAnsi="Garamond"/>
          <w:b w:val="false"/>
          <w:bCs w:val="false"/>
          <w:i w:val="false"/>
          <w:iCs w:val="false"/>
          <w:color w:val="1A1613"/>
          <w:sz w:val="20"/>
          <w:szCs w:val="20"/>
        </w:rPr>
        <w:t xml:space="preserve">8. Data Source Failure and Reconciliation</w:t>
      </w:r>
    </w:p>
    <w:p>
      <w:pPr>
        <w:spacing w:after="200" w:before="0"/>
      </w:pPr>
      <w:r>
        <w:rPr>
          <w:rFonts w:ascii="Garamond" w:cs="Garamond" w:eastAsia="Garamond" w:hAnsi="Garamond"/>
          <w:b w:val="false"/>
          <w:bCs w:val="false"/>
          <w:i w:val="false"/>
          <w:iCs w:val="false"/>
          <w:color w:val="1A1613"/>
          <w:sz w:val="20"/>
          <w:szCs w:val="20"/>
        </w:rPr>
        <w:t xml:space="preserve">Quiver/FMP disagreement: Both records retained, trade excluded from signal generation until manually resolved or 7 days pass (Quiver as primary). Amendment handling: Amended filing replaces original; delta logged; affected positions flagged. Name/ticker changes: Alias table maintained, auto-updated via FMP Corporate Events for tickers. Sentiment conflict: Both scores averaged; suppressed to neutral if absolute difference &gt; 0.5. API failure: Affected channel enters degraded mode; weight redistributed. Two or more primary source failures trigger system-wide halt per Section 5. All reconciliation events are logged in the audit trail (see Section 9).</w:t>
      </w:r>
    </w:p>
    <w:p>
      <w:pPr>
        <w:pStyle w:val="Heading1"/>
        <w:spacing w:after="140" w:before="0"/>
      </w:pPr>
      <w:r>
        <w:rPr>
          <w:rFonts w:ascii="Garamond" w:cs="Garamond" w:eastAsia="Garamond" w:hAnsi="Garamond"/>
          <w:b w:val="false"/>
          <w:bCs w:val="false"/>
          <w:i w:val="false"/>
          <w:iCs w:val="false"/>
          <w:color w:val="1A1613"/>
          <w:sz w:val="20"/>
          <w:szCs w:val="20"/>
        </w:rPr>
        <w:t xml:space="preserve">9. Model Governance</w:t>
      </w:r>
    </w:p>
    <w:p>
      <w:pPr>
        <w:spacing w:after="140" w:before="0"/>
      </w:pPr>
      <w:r>
        <w:rPr>
          <w:rFonts w:ascii="Garamond" w:cs="Garamond" w:eastAsia="Garamond" w:hAnsi="Garamond"/>
          <w:b w:val="false"/>
          <w:bCs w:val="false"/>
          <w:i w:val="false"/>
          <w:iCs w:val="false"/>
          <w:color w:val="1A1613"/>
          <w:sz w:val="20"/>
          <w:szCs w:val="20"/>
        </w:rPr>
        <w:t xml:space="preserve">Change Authority: Modifications to signal weights, confidence thresholds, quarantine rules, ticker universe, member roster, alias mappings, and event phase assignments require documented approval from the AURE model owner (designated individual or committee at brightcloud.ai). No parameter changes are permitted in production without a corresponding entry in the model change log.</w:t>
      </w:r>
    </w:p>
    <w:p>
      <w:pPr>
        <w:spacing w:after="140" w:before="0"/>
      </w:pPr>
      <w:r>
        <w:rPr>
          <w:rFonts w:ascii="Garamond" w:cs="Garamond" w:eastAsia="Garamond" w:hAnsi="Garamond"/>
          <w:b w:val="false"/>
          <w:bCs w:val="false"/>
          <w:i w:val="false"/>
          <w:iCs w:val="false"/>
          <w:color w:val="1A1613"/>
          <w:sz w:val="20"/>
          <w:szCs w:val="20"/>
        </w:rPr>
        <w:t xml:space="preserve">Version Control: Every model state (weight vector, threshold set, universe list, event map) is versioned with a monotonically increasing version number. The current version is displayed in the dashboard header and recorded in every signal and trade log entry. Previous versions are retained indefinitely for audit.</w:t>
      </w:r>
    </w:p>
    <w:p>
      <w:pPr>
        <w:spacing w:after="140" w:before="0"/>
      </w:pPr>
      <w:r>
        <w:rPr>
          <w:rFonts w:ascii="Garamond" w:cs="Garamond" w:eastAsia="Garamond" w:hAnsi="Garamond"/>
          <w:b w:val="false"/>
          <w:bCs w:val="false"/>
          <w:i w:val="false"/>
          <w:iCs w:val="false"/>
          <w:color w:val="1A1613"/>
          <w:sz w:val="20"/>
          <w:szCs w:val="20"/>
        </w:rPr>
        <w:t xml:space="preserve">Audit Log: Every signal generated, trade executed (sandbox, paper, or live), recalibration event, quarantine action, data reconciliation, member addition/removal, ticker addition/removal, and threshold change is recorded with timestamp, model version, and triggering conditions. The audit log is append-only and cannot be retroactively modified.</w:t>
      </w:r>
    </w:p>
    <w:p>
      <w:pPr>
        <w:spacing w:after="140" w:before="0"/>
      </w:pPr>
      <w:r>
        <w:rPr>
          <w:rFonts w:ascii="Garamond" w:cs="Garamond" w:eastAsia="Garamond" w:hAnsi="Garamond"/>
          <w:b w:val="false"/>
          <w:bCs w:val="false"/>
          <w:i w:val="false"/>
          <w:iCs w:val="false"/>
          <w:color w:val="1A1613"/>
          <w:sz w:val="20"/>
          <w:szCs w:val="20"/>
        </w:rPr>
        <w:t xml:space="preserve">Event Lifecycle Review: Phase assignments are reviewed weekly by the model owner. Review criteria: news velocity, diplomatic activity, congressional hearing schedule, and sector price action. No inter-reviewer consistency metric is currently tracked (single reviewer); this is a known limitation that will be addressed when the team expands by implementing dual-reviewer phase assignment with documented disagreement resolution.</w:t>
      </w:r>
    </w:p>
    <w:p>
      <w:pPr>
        <w:spacing w:after="200" w:before="0"/>
      </w:pPr>
      <w:r>
        <w:rPr>
          <w:rFonts w:ascii="Garamond" w:cs="Garamond" w:eastAsia="Garamond" w:hAnsi="Garamond"/>
          <w:b w:val="false"/>
          <w:bCs w:val="false"/>
          <w:i w:val="false"/>
          <w:iCs w:val="false"/>
          <w:color w:val="1A1613"/>
          <w:sz w:val="20"/>
          <w:szCs w:val="20"/>
        </w:rPr>
        <w:t xml:space="preserve">Scheduled Reviews: Full model review (weights, thresholds, universe, governance) conducted quarterly, aligned to 13F filing cycles. Annual comprehensive review conducted in January. Ad-hoc review triggered by any system-wide trading halt event.</w:t>
      </w:r>
    </w:p>
    <w:p>
      <w:pPr>
        <w:pStyle w:val="Heading1"/>
        <w:spacing w:after="140" w:before="0"/>
      </w:pPr>
      <w:r>
        <w:rPr>
          <w:rFonts w:ascii="Garamond" w:cs="Garamond" w:eastAsia="Garamond" w:hAnsi="Garamond"/>
          <w:b w:val="false"/>
          <w:bCs w:val="false"/>
          <w:i w:val="false"/>
          <w:iCs w:val="false"/>
          <w:color w:val="1A1613"/>
          <w:sz w:val="20"/>
          <w:szCs w:val="20"/>
        </w:rPr>
        <w:t xml:space="preserve">10. Product Definition and Target User</w:t>
      </w:r>
    </w:p>
    <w:p>
      <w:pPr>
        <w:spacing w:after="140" w:before="0"/>
      </w:pPr>
      <w:r>
        <w:rPr>
          <w:rFonts w:ascii="Garamond" w:cs="Garamond" w:eastAsia="Garamond" w:hAnsi="Garamond"/>
          <w:b w:val="false"/>
          <w:bCs w:val="false"/>
          <w:i w:val="false"/>
          <w:iCs w:val="false"/>
          <w:color w:val="1A1613"/>
          <w:sz w:val="20"/>
          <w:szCs w:val="20"/>
        </w:rPr>
        <w:t xml:space="preserve">AURE on brightcloud.ai is a research and signal-generation platform. Its initial target user is the self-directed retail trader or sophisticated individual investor who seeks to incorporate political and institutional intelligence into their own investment process.</w:t>
      </w:r>
    </w:p>
    <w:p>
      <w:pPr>
        <w:spacing w:after="140" w:before="0"/>
      </w:pPr>
      <w:r>
        <w:rPr>
          <w:rFonts w:ascii="Garamond" w:cs="Garamond" w:eastAsia="Garamond" w:hAnsi="Garamond"/>
          <w:b/>
          <w:bCs/>
          <w:i w:val="false"/>
          <w:iCs w:val="false"/>
          <w:color w:val="1A1613"/>
          <w:sz w:val="20"/>
          <w:szCs w:val="20"/>
        </w:rPr>
        <w:t xml:space="preserve">What the user receives: </w:t>
      </w:r>
      <w:r>
        <w:rPr>
          <w:rFonts w:ascii="Garamond" w:cs="Garamond" w:eastAsia="Garamond" w:hAnsi="Garamond"/>
          <w:b w:val="false"/>
          <w:bCs w:val="false"/>
          <w:i w:val="false"/>
          <w:iCs w:val="false"/>
          <w:color w:val="1A1613"/>
          <w:sz w:val="20"/>
          <w:szCs w:val="20"/>
        </w:rPr>
        <w:t xml:space="preserve">Ranked convergence scores with signal-channel breakdowns; directional trade hypotheses (LONG/INVERSE/SHORT/OBSERVE) with confidence levels and suggested position sizes; event lifecycle maps with phase-specific playbooks; shadow network activity with confidence tiers clearly labeled; sector rotation analysis; and a real-time intelligence feed. All AI-generated explanations are labeled as AI-generated and describe detected signals, not recommendations.</w:t>
      </w:r>
    </w:p>
    <w:p>
      <w:pPr>
        <w:spacing w:after="140" w:before="0"/>
      </w:pPr>
      <w:r>
        <w:rPr>
          <w:rFonts w:ascii="Garamond" w:cs="Garamond" w:eastAsia="Garamond" w:hAnsi="Garamond"/>
          <w:b/>
          <w:bCs/>
          <w:i w:val="false"/>
          <w:iCs w:val="false"/>
          <w:color w:val="1A1613"/>
          <w:sz w:val="20"/>
          <w:szCs w:val="20"/>
        </w:rPr>
        <w:t xml:space="preserve">What the user does not receive: </w:t>
      </w:r>
      <w:r>
        <w:rPr>
          <w:rFonts w:ascii="Garamond" w:cs="Garamond" w:eastAsia="Garamond" w:hAnsi="Garamond"/>
          <w:b w:val="false"/>
          <w:bCs w:val="false"/>
          <w:i w:val="false"/>
          <w:iCs w:val="false"/>
          <w:color w:val="1A1613"/>
          <w:sz w:val="20"/>
          <w:szCs w:val="20"/>
        </w:rPr>
        <w:t xml:space="preserve">Personalized investment advice, suitability analysis, tax advice, or any representation that AURE's signals are appropriate for the user's specific financial situation, risk tolerance, or investment objectives. The user assumes full responsibility for execution decisions.</w:t>
      </w:r>
    </w:p>
    <w:p>
      <w:pPr>
        <w:spacing w:after="200" w:before="0"/>
      </w:pPr>
      <w:r>
        <w:rPr>
          <w:rFonts w:ascii="Garamond" w:cs="Garamond" w:eastAsia="Garamond" w:hAnsi="Garamond"/>
          <w:b/>
          <w:bCs/>
          <w:i w:val="false"/>
          <w:iCs w:val="false"/>
          <w:color w:val="1A1613"/>
          <w:sz w:val="20"/>
          <w:szCs w:val="20"/>
        </w:rPr>
        <w:t xml:space="preserve">Cadence: </w:t>
      </w:r>
      <w:r>
        <w:rPr>
          <w:rFonts w:ascii="Garamond" w:cs="Garamond" w:eastAsia="Garamond" w:hAnsi="Garamond"/>
          <w:b w:val="false"/>
          <w:bCs w:val="false"/>
          <w:i w:val="false"/>
          <w:iCs w:val="false"/>
          <w:color w:val="1A1613"/>
          <w:sz w:val="20"/>
          <w:szCs w:val="20"/>
        </w:rPr>
        <w:t xml:space="preserve">Real-time dashboard during market hours. Pre-market analysis at 4:00 AM ET. Post-market summary at 8:00 PM ET. Weekly event review Sunday evenings. Quarterly 13F analysis within 48 hours of filing deadline. Annual comprehensive review following OGE 278e window.</w:t>
      </w:r>
    </w:p>
    <w:p>
      <w:pPr>
        <w:pStyle w:val="Heading1"/>
        <w:spacing w:after="140" w:before="0"/>
      </w:pPr>
      <w:r>
        <w:rPr>
          <w:rFonts w:ascii="Garamond" w:cs="Garamond" w:eastAsia="Garamond" w:hAnsi="Garamond"/>
          <w:b w:val="false"/>
          <w:bCs w:val="false"/>
          <w:i w:val="false"/>
          <w:iCs w:val="false"/>
          <w:color w:val="1A1613"/>
          <w:sz w:val="20"/>
          <w:szCs w:val="20"/>
        </w:rPr>
        <w:t xml:space="preserve">11. Compliance and Disclosures</w:t>
      </w:r>
    </w:p>
    <w:p>
      <w:pPr>
        <w:spacing w:after="140" w:before="0"/>
      </w:pPr>
      <w:r>
        <w:rPr>
          <w:rFonts w:ascii="Garamond" w:cs="Garamond" w:eastAsia="Garamond" w:hAnsi="Garamond"/>
          <w:b w:val="false"/>
          <w:bCs w:val="false"/>
          <w:i w:val="false"/>
          <w:iCs w:val="false"/>
          <w:color w:val="1A1613"/>
          <w:sz w:val="20"/>
          <w:szCs w:val="20"/>
        </w:rPr>
        <w:t xml:space="preserve">AURE is not a registered investment advisor, broker-dealer, or investment company. Nothing on brightcloud.ai constitutes investment advice, a recommendation, a solicitation, or an offer to buy or sell any security. No suitability analysis is performed. No fiduciary relationship is created. No guarantee of timeliness or completeness of third-party data is made. No assurance that public-record inference reflects actual beneficial ownership is provided.</w:t>
      </w:r>
    </w:p>
    <w:p>
      <w:pPr>
        <w:spacing w:after="140" w:before="0"/>
      </w:pPr>
      <w:r>
        <w:rPr>
          <w:rFonts w:ascii="Garamond" w:cs="Garamond" w:eastAsia="Garamond" w:hAnsi="Garamond"/>
          <w:b/>
          <w:bCs/>
          <w:i w:val="false"/>
          <w:iCs w:val="false"/>
          <w:color w:val="1A1613"/>
          <w:sz w:val="20"/>
          <w:szCs w:val="20"/>
        </w:rPr>
        <w:t xml:space="preserve">All backtested and simulated results are hypothetical and do not represent actual trading. Hypothetical results have inherent limitations including benefit of hindsight, absence of real execution factors, survivorship bias, and overfitting risk. Past hypothetical performance is not indicative of future results.</w:t>
      </w:r>
    </w:p>
    <w:p>
      <w:pPr>
        <w:spacing w:after="140" w:before="0"/>
      </w:pPr>
      <w:r>
        <w:rPr>
          <w:rFonts w:ascii="Garamond" w:cs="Garamond" w:eastAsia="Garamond" w:hAnsi="Garamond"/>
          <w:b w:val="false"/>
          <w:bCs w:val="false"/>
          <w:i w:val="false"/>
          <w:iCs w:val="false"/>
          <w:color w:val="1A1613"/>
          <w:sz w:val="20"/>
          <w:szCs w:val="20"/>
        </w:rPr>
        <w:t xml:space="preserve">AI-generated content: The intelligence feed and signal explanations are generated by AI (Claude API, Anthropic). AI-generated text is labeled, reviewed for factual accuracy against underlying data, and designed to describe detected signals rather than make performance predictions or recommendations.</w:t>
      </w:r>
    </w:p>
    <w:p>
      <w:pPr>
        <w:spacing w:after="200" w:before="0"/>
      </w:pPr>
      <w:r>
        <w:rPr>
          <w:rFonts w:ascii="Garamond" w:cs="Garamond" w:eastAsia="Garamond" w:hAnsi="Garamond"/>
          <w:b w:val="false"/>
          <w:bCs w:val="false"/>
          <w:i w:val="false"/>
          <w:iCs w:val="false"/>
          <w:color w:val="1A1613"/>
          <w:sz w:val="20"/>
          <w:szCs w:val="20"/>
        </w:rPr>
        <w:t xml:space="preserve">Data licensing: Market data sourced from licensed providers under their respective terms. Congressional disclosures are public record. Redistribution of real-time market data may be subject to exchange licensing requirements. Users are responsible for compliance with applicable securities laws in their jurisdiction.</w:t>
      </w:r>
    </w:p>
    <w:p>
      <w:r>
        <w:br w:type="page"/>
      </w:r>
    </w:p>
    <w:p>
      <w:pPr>
        <w:pStyle w:val="Heading1"/>
        <w:spacing w:after="140" w:before="0"/>
      </w:pPr>
      <w:r>
        <w:rPr>
          <w:rFonts w:ascii="Garamond" w:cs="Garamond" w:eastAsia="Garamond" w:hAnsi="Garamond"/>
          <w:b w:val="false"/>
          <w:bCs w:val="false"/>
          <w:i w:val="false"/>
          <w:iCs w:val="false"/>
          <w:color w:val="1A1613"/>
          <w:sz w:val="20"/>
          <w:szCs w:val="20"/>
        </w:rPr>
        <w:t xml:space="preserve">Appendices</w:t>
      </w:r>
    </w:p>
    <w:p>
      <w:pPr>
        <w:pStyle w:val="Heading2"/>
        <w:spacing w:after="140" w:before="0"/>
      </w:pPr>
      <w:r>
        <w:rPr>
          <w:rFonts w:ascii="Garamond" w:cs="Garamond" w:eastAsia="Garamond" w:hAnsi="Garamond"/>
          <w:b w:val="false"/>
          <w:bCs w:val="false"/>
          <w:i w:val="false"/>
          <w:iCs w:val="false"/>
          <w:color w:val="1A1613"/>
          <w:sz w:val="20"/>
          <w:szCs w:val="20"/>
        </w:rPr>
        <w:t xml:space="preserve">Appendix A: Scoring Formula Summary</w:t>
      </w:r>
    </w:p>
    <w:p>
      <w:pPr>
        <w:spacing w:after="80" w:before="0"/>
        <w:jc w:val="center"/>
      </w:pPr>
      <w:r>
        <w:rPr>
          <w:rFonts w:ascii="Garamond" w:cs="Garamond" w:eastAsia="Garamond" w:hAnsi="Garamond"/>
          <w:b/>
          <w:bCs/>
          <w:i w:val="false"/>
          <w:iCs w:val="false"/>
          <w:color w:val="1A1613"/>
          <w:sz w:val="20"/>
          <w:szCs w:val="20"/>
        </w:rPr>
        <w:t xml:space="preserve">Score(S, t, d) = R(regime) * Σ w_i * norm_i(S, t, d)</w:t>
      </w:r>
    </w:p>
    <w:p>
      <w:pPr>
        <w:spacing w:after="140" w:before="0"/>
      </w:pPr>
      <w:r>
        <w:rPr>
          <w:rFonts w:ascii="Garamond" w:cs="Garamond" w:eastAsia="Garamond" w:hAnsi="Garamond"/>
          <w:b w:val="false"/>
          <w:bCs w:val="false"/>
          <w:i w:val="false"/>
          <w:iCs w:val="false"/>
          <w:color w:val="1A1613"/>
          <w:sz w:val="20"/>
          <w:szCs w:val="20"/>
        </w:rPr>
        <w:t xml:space="preserve">norm_i: per-channel normalization as defined in Section 3</w:t>
      </w:r>
    </w:p>
    <w:p>
      <w:pPr>
        <w:spacing w:after="140" w:before="0"/>
      </w:pPr>
      <w:r>
        <w:rPr>
          <w:rFonts w:ascii="Garamond" w:cs="Garamond" w:eastAsia="Garamond" w:hAnsi="Garamond"/>
          <w:b w:val="false"/>
          <w:bCs w:val="false"/>
          <w:i w:val="false"/>
          <w:iCs w:val="false"/>
          <w:color w:val="1A1613"/>
          <w:sz w:val="20"/>
          <w:szCs w:val="20"/>
        </w:rPr>
        <w:t xml:space="preserve">R: {Steady: 1.0, Turbulent: 0.82, Crisis: 0.60}</w:t>
      </w:r>
    </w:p>
    <w:p>
      <w:pPr>
        <w:spacing w:after="140" w:before="0"/>
      </w:pPr>
      <w:r>
        <w:rPr>
          <w:rFonts w:ascii="Garamond" w:cs="Garamond" w:eastAsia="Garamond" w:hAnsi="Garamond"/>
          <w:b w:val="false"/>
          <w:bCs w:val="false"/>
          <w:i w:val="false"/>
          <w:iCs w:val="false"/>
          <w:color w:val="1A1613"/>
          <w:sz w:val="20"/>
          <w:szCs w:val="20"/>
        </w:rPr>
        <w:t xml:space="preserve">Decision: net = bull - bear. LONG if net &gt; 30 and bull &gt; 72. INVERSE if net &lt; -30 and bear &gt; 72. OBSERVE otherwise.</w:t>
      </w:r>
    </w:p>
    <w:p>
      <w:pPr>
        <w:spacing w:after="200" w:before="0"/>
      </w:pPr>
      <w:r>
        <w:rPr>
          <w:rFonts w:ascii="Garamond" w:cs="Garamond" w:eastAsia="Garamond" w:hAnsi="Garamond"/>
          <w:b w:val="false"/>
          <w:bCs w:val="false"/>
          <w:i w:val="false"/>
          <w:iCs w:val="false"/>
          <w:color w:val="1A1613"/>
          <w:sz w:val="20"/>
          <w:szCs w:val="20"/>
        </w:rPr>
        <w:t xml:space="preserve">Accuracy: 5-day forward directional correctness net of 0.05% assumed slippage.</w:t>
      </w:r>
    </w:p>
    <w:p>
      <w:pPr>
        <w:pStyle w:val="Heading2"/>
        <w:spacing w:after="140" w:before="0"/>
      </w:pPr>
      <w:r>
        <w:rPr>
          <w:rFonts w:ascii="Garamond" w:cs="Garamond" w:eastAsia="Garamond" w:hAnsi="Garamond"/>
          <w:b w:val="false"/>
          <w:bCs w:val="false"/>
          <w:i w:val="false"/>
          <w:iCs w:val="false"/>
          <w:color w:val="1A1613"/>
          <w:sz w:val="20"/>
          <w:szCs w:val="20"/>
        </w:rPr>
        <w:t xml:space="preserve">Appendix B: Benchmark Definitions</w:t>
      </w:r>
    </w:p>
    <w:p>
      <w:pPr>
        <w:spacing w:after="140" w:before="0"/>
      </w:pPr>
      <w:r>
        <w:rPr>
          <w:rFonts w:ascii="Garamond" w:cs="Garamond" w:eastAsia="Garamond" w:hAnsi="Garamond"/>
          <w:b w:val="false"/>
          <w:bCs w:val="false"/>
          <w:i w:val="false"/>
          <w:iCs w:val="false"/>
          <w:color w:val="1A1613"/>
          <w:sz w:val="20"/>
          <w:szCs w:val="20"/>
        </w:rPr>
        <w:t xml:space="preserve">SPY Buy &amp; Hold: $10,000 invested in SPY on day 1, dividends reinvested, no trades. Represents passive market beta.</w:t>
      </w:r>
    </w:p>
    <w:p>
      <w:pPr>
        <w:spacing w:after="140" w:before="0"/>
      </w:pPr>
      <w:r>
        <w:rPr>
          <w:rFonts w:ascii="Garamond" w:cs="Garamond" w:eastAsia="Garamond" w:hAnsi="Garamond"/>
          <w:b w:val="false"/>
          <w:bCs w:val="false"/>
          <w:i w:val="false"/>
          <w:iCs w:val="false"/>
          <w:color w:val="1A1613"/>
          <w:sz w:val="20"/>
          <w:szCs w:val="20"/>
        </w:rPr>
        <w:t xml:space="preserve">Congress Copy (naive): Mirrors all disclosed congressional trades at filing date, equal dollar weight per trade, long only, no convergence filter, no inverse capability. Represents the strategy available to retail users of existing congressional tracking platforms.</w:t>
      </w:r>
    </w:p>
    <w:p>
      <w:pPr>
        <w:spacing w:after="200" w:before="0"/>
      </w:pPr>
      <w:r>
        <w:rPr>
          <w:rFonts w:ascii="Garamond" w:cs="Garamond" w:eastAsia="Garamond" w:hAnsi="Garamond"/>
          <w:b w:val="false"/>
          <w:bCs w:val="false"/>
          <w:i w:val="false"/>
          <w:iCs w:val="false"/>
          <w:color w:val="1A1613"/>
          <w:sz w:val="20"/>
          <w:szCs w:val="20"/>
        </w:rPr>
        <w:t xml:space="preserve">AURE (hypothetical): Full convergence engine with all 10 signal channels, adaptive weights, regime scaling, and long/inverse capability. Walk-forward validation with 12-month training, 3-month OOS, rolled quarterly.</w:t>
      </w:r>
    </w:p>
    <w:p>
      <w:pPr>
        <w:pStyle w:val="Heading2"/>
        <w:spacing w:after="140" w:before="0"/>
      </w:pPr>
      <w:r>
        <w:rPr>
          <w:rFonts w:ascii="Garamond" w:cs="Garamond" w:eastAsia="Garamond" w:hAnsi="Garamond"/>
          <w:b w:val="false"/>
          <w:bCs w:val="false"/>
          <w:i w:val="false"/>
          <w:iCs w:val="false"/>
          <w:color w:val="1A1613"/>
          <w:sz w:val="20"/>
          <w:szCs w:val="20"/>
        </w:rPr>
        <w:t xml:space="preserve">Appendix C: Ticker Universe and Rebalance Cadence</w:t>
      </w:r>
    </w:p>
    <w:p>
      <w:pPr>
        <w:spacing w:after="140" w:before="0"/>
      </w:pPr>
      <w:r>
        <w:rPr>
          <w:rFonts w:ascii="Garamond" w:cs="Garamond" w:eastAsia="Garamond" w:hAnsi="Garamond"/>
          <w:b w:val="false"/>
          <w:bCs w:val="false"/>
          <w:i w:val="false"/>
          <w:iCs w:val="false"/>
          <w:color w:val="1A1613"/>
          <w:sz w:val="20"/>
          <w:szCs w:val="20"/>
        </w:rPr>
        <w:t xml:space="preserve">Universe: Securities included in the AURE tracking universe are defined as: (a) any US-listed equity or ETF appearing in a congressional PTR filing within the trailing 12 months, AND meeting a 500,000 ADV liquidity screen; plus (b) a fixed set of sector ETFs and their inverse counterparts (QQQ/SQQQ, XLF/FAZ, XLE/ERY, XLV/RXD, SPY/SPXS, ITA); plus (c) any security appearing in 3+ institutional 13F filings from tracked institutions within the most recent filing quarter.</w:t>
      </w:r>
    </w:p>
    <w:p>
      <w:pPr>
        <w:spacing w:after="140" w:before="0"/>
      </w:pPr>
      <w:r>
        <w:rPr>
          <w:rFonts w:ascii="Garamond" w:cs="Garamond" w:eastAsia="Garamond" w:hAnsi="Garamond"/>
          <w:b w:val="false"/>
          <w:bCs w:val="false"/>
          <w:i w:val="false"/>
          <w:iCs w:val="false"/>
          <w:color w:val="1A1613"/>
          <w:sz w:val="20"/>
          <w:szCs w:val="20"/>
        </w:rPr>
        <w:t xml:space="preserve">Current universe: Approximately 80-120 securities, rebalanced quarterly aligned to 13F filing cycles. Securities are added when they first appear in congressional or institutional filings and pass the liquidity screen. Securities are removed per the rules in Section 5.</w:t>
      </w:r>
    </w:p>
    <w:p>
      <w:pPr>
        <w:spacing w:after="200" w:before="0"/>
      </w:pPr>
      <w:r>
        <w:rPr>
          <w:rFonts w:ascii="Garamond" w:cs="Garamond" w:eastAsia="Garamond" w:hAnsi="Garamond"/>
          <w:b w:val="false"/>
          <w:bCs w:val="false"/>
          <w:i w:val="false"/>
          <w:iCs w:val="false"/>
          <w:color w:val="1A1613"/>
          <w:sz w:val="20"/>
          <w:szCs w:val="20"/>
        </w:rPr>
        <w:t xml:space="preserve">Rebalance cadence: Universe review quarterly. Signal weights reviewed quarterly (subject to recalibration constraints). Event lifecycle reviewed weekly. Congressional roster reviewed upon each new Congress seating and upon interim vacancies/appointments.</w:t>
      </w:r>
    </w:p>
    <w:p>
      <w:pPr>
        <w:pStyle w:val="Heading2"/>
        <w:spacing w:after="140" w:before="0"/>
      </w:pPr>
      <w:r>
        <w:rPr>
          <w:rFonts w:ascii="Garamond" w:cs="Garamond" w:eastAsia="Garamond" w:hAnsi="Garamond"/>
          <w:b w:val="false"/>
          <w:bCs w:val="false"/>
          <w:i w:val="false"/>
          <w:iCs w:val="false"/>
          <w:color w:val="1A1613"/>
          <w:sz w:val="20"/>
          <w:szCs w:val="20"/>
        </w:rPr>
        <w:t xml:space="preserve">Appendix D: Data Provenance and Audit Policy</w:t>
      </w:r>
    </w:p>
    <w:p>
      <w:pPr>
        <w:spacing w:after="140" w:before="0"/>
      </w:pPr>
      <w:r>
        <w:rPr>
          <w:rFonts w:ascii="Garamond" w:cs="Garamond" w:eastAsia="Garamond" w:hAnsi="Garamond"/>
          <w:b w:val="false"/>
          <w:bCs w:val="false"/>
          <w:i w:val="false"/>
          <w:iCs w:val="false"/>
          <w:color w:val="1A1613"/>
          <w:sz w:val="20"/>
          <w:szCs w:val="20"/>
        </w:rPr>
        <w:t xml:space="preserve">All data entering AURE is tagged with: source (API provider), retrieval timestamp, data-as-of timestamp (where different from retrieval), and model version at time of ingestion. Congressional filings carry additional metadata: transaction date, notification date, filing date, and filing delay in days.</w:t>
      </w:r>
    </w:p>
    <w:p>
      <w:pPr>
        <w:spacing w:after="140" w:before="0"/>
      </w:pPr>
      <w:r>
        <w:rPr>
          <w:rFonts w:ascii="Garamond" w:cs="Garamond" w:eastAsia="Garamond" w:hAnsi="Garamond"/>
          <w:b w:val="false"/>
          <w:bCs w:val="false"/>
          <w:i w:val="false"/>
          <w:iCs w:val="false"/>
          <w:color w:val="1A1613"/>
          <w:sz w:val="20"/>
          <w:szCs w:val="20"/>
        </w:rPr>
        <w:t xml:space="preserve">Audit log entries include: event type (signal_generated, trade_executed, recalibration, quarantine, data_reconciliation, parameter_change, member_change, ticker_change), timestamp, model version, triggering conditions, and outcome where applicable. The audit log is append-only, stored separately from operational data, and retained for 7 years.</w:t>
      </w:r>
    </w:p>
    <w:p>
      <w:pPr>
        <w:spacing w:after="200" w:before="0"/>
      </w:pPr>
      <w:r>
        <w:rPr>
          <w:rFonts w:ascii="Garamond" w:cs="Garamond" w:eastAsia="Garamond" w:hAnsi="Garamond"/>
          <w:b w:val="false"/>
          <w:bCs w:val="false"/>
          <w:i w:val="false"/>
          <w:iCs w:val="false"/>
          <w:color w:val="1A1613"/>
          <w:sz w:val="20"/>
          <w:szCs w:val="20"/>
        </w:rPr>
        <w:t xml:space="preserve">Model change log entries include: parameter changed, old value, new value, reason, approver, and effective date. All changes require model-owner approval before deployment to production.</w:t>
      </w:r>
    </w:p>
    <w:p>
      <w:pPr>
        <w:pBdr>
          <w:bottom w:val="single" w:color="8C8072" w:sz="1"/>
        </w:pBdr>
        <w:spacing w:after="60" w:before="0"/>
      </w:pPr>
    </w:p>
    <w:p>
      <w:pPr>
        <w:pStyle w:val="Heading3"/>
        <w:spacing w:after="140" w:before="0"/>
      </w:pPr>
      <w:r>
        <w:rPr>
          <w:rFonts w:ascii="Garamond" w:cs="Garamond" w:eastAsia="Garamond" w:hAnsi="Garamond"/>
          <w:b w:val="false"/>
          <w:bCs w:val="false"/>
          <w:i w:val="false"/>
          <w:iCs w:val="false"/>
          <w:color w:val="1A1613"/>
          <w:sz w:val="20"/>
          <w:szCs w:val="20"/>
        </w:rPr>
        <w:t xml:space="preserve">Footnotes</w:t>
      </w:r>
    </w:p>
    <w:p>
      <w:pPr>
        <w:spacing w:after="60" w:before="0"/>
      </w:pPr>
      <w:r>
        <w:rPr>
          <w:rFonts w:ascii="Garamond" w:cs="Garamond" w:eastAsia="Garamond" w:hAnsi="Garamond"/>
          <w:b w:val="false"/>
          <w:bCs w:val="false"/>
          <w:i w:val="false"/>
          <w:iCs w:val="false"/>
          <w:color w:val="8C8072"/>
          <w:sz w:val="17"/>
          <w:szCs w:val="17"/>
        </w:rPr>
        <w:t xml:space="preserve">1. STOCK Act, Pub. L. 112-105, § 6 (2012). PTR timing requirements per 5 U.S.C. app. § 103(l).</w:t>
      </w:r>
    </w:p>
    <w:p>
      <w:pPr>
        <w:spacing w:after="60" w:before="0"/>
      </w:pPr>
      <w:r>
        <w:rPr>
          <w:rFonts w:ascii="Garamond" w:cs="Garamond" w:eastAsia="Garamond" w:hAnsi="Garamond"/>
          <w:b w:val="false"/>
          <w:bCs w:val="false"/>
          <w:i w:val="false"/>
          <w:iCs w:val="false"/>
          <w:color w:val="8C8072"/>
          <w:sz w:val="17"/>
          <w:szCs w:val="17"/>
        </w:rPr>
        <w:t xml:space="preserve">2. See Newsweek, "Revealed: Members of Congress Who May Have Flouted a Stock Trading Law," September 2024. Fines per 5 U.S.C. app. § 104(d).</w:t>
      </w:r>
    </w:p>
    <w:p>
      <w:pPr>
        <w:spacing w:after="60" w:before="0"/>
      </w:pPr>
      <w:r>
        <w:rPr>
          <w:rFonts w:ascii="Garamond" w:cs="Garamond" w:eastAsia="Garamond" w:hAnsi="Garamond"/>
          <w:b w:val="false"/>
          <w:bCs w:val="false"/>
          <w:i w:val="false"/>
          <w:iCs w:val="false"/>
          <w:color w:val="8C8072"/>
          <w:sz w:val="17"/>
          <w:szCs w:val="17"/>
        </w:rPr>
        <w:t xml:space="preserve">3. Senate Select Committee on Ethics, guidance on PTR exemptions for widely held investment funds and transactions below $1,000.</w:t>
      </w:r>
    </w:p>
    <w:p>
      <w:pPr>
        <w:spacing w:after="60" w:before="0"/>
      </w:pPr>
      <w:r>
        <w:rPr>
          <w:rFonts w:ascii="Garamond" w:cs="Garamond" w:eastAsia="Garamond" w:hAnsi="Garamond"/>
          <w:b w:val="false"/>
          <w:bCs w:val="false"/>
          <w:i w:val="false"/>
          <w:iCs w:val="false"/>
          <w:color w:val="8C8072"/>
          <w:sz w:val="17"/>
          <w:szCs w:val="17"/>
        </w:rPr>
        <w:t xml:space="preserve">4. SEC Rule 13f-1, 17 CFR § 240.13f-1. Filing deadline: 45 days after calendar quarter end.</w:t>
      </w:r>
    </w:p>
    <w:p>
      <w:pPr>
        <w:spacing w:after="200" w:before="0"/>
      </w:pPr>
      <w:r>
        <w:rPr>
          <w:rFonts w:ascii="Garamond" w:cs="Garamond" w:eastAsia="Garamond" w:hAnsi="Garamond"/>
          <w:b w:val="false"/>
          <w:bCs w:val="false"/>
          <w:i w:val="false"/>
          <w:iCs w:val="false"/>
          <w:color w:val="8C8072"/>
          <w:sz w:val="17"/>
          <w:szCs w:val="17"/>
        </w:rPr>
        <w:t xml:space="preserve">5. Alpaca Markets, Paper Trading documentation. IEX data limitations noted in developer docs.</w:t>
      </w:r>
    </w:p>
    <w:p>
      <w:pPr>
        <w:pBdr>
          <w:bottom w:val="single" w:color="9A7B3C" w:sz="2"/>
        </w:pBdr>
        <w:spacing w:after="60" w:before="0"/>
      </w:pPr>
    </w:p>
    <w:p>
      <w:pPr>
        <w:spacing w:after="0" w:before="0"/>
        <w:jc w:val="center"/>
      </w:pPr>
      <w:r>
        <w:rPr>
          <w:rFonts w:ascii="Garamond" w:cs="Garamond" w:eastAsia="Garamond" w:hAnsi="Garamond"/>
          <w:b w:val="false"/>
          <w:bCs w:val="false"/>
          <w:i w:val="false"/>
          <w:iCs w:val="false"/>
          <w:color w:val="9A7B3C"/>
          <w:sz w:val="18"/>
          <w:szCs w:val="18"/>
        </w:rPr>
        <w:t xml:space="preserve">A U R E</w:t>
      </w:r>
      <w:r>
        <w:rPr>
          <w:rFonts w:ascii="Garamond" w:cs="Garamond" w:eastAsia="Garamond" w:hAnsi="Garamond"/>
          <w:b w:val="false"/>
          <w:bCs w:val="false"/>
          <w:i w:val="false"/>
          <w:iCs w:val="false"/>
          <w:color w:val="8C8072"/>
          <w:sz w:val="16"/>
          <w:szCs w:val="16"/>
        </w:rPr>
        <w:t xml:space="preserve">  |  brightcloud.ai  |  Adaptive Unified Rebalancing Engine</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aramond" w:cs="Garamond" w:eastAsia="Garamond" w:hAnsi="Garamond"/>
        <w:color w:val="1A161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80" w:before="360"/>
      <w:outlineLvl w:val="0"/>
    </w:pPr>
    <w:rPr>
      <w:rFonts w:ascii="Garamond" w:cs="Garamond" w:eastAsia="Garamond" w:hAnsi="Garamond"/>
      <w:b w:val="false"/>
      <w:bCs w:val="false"/>
      <w:color w:val="9A7B3C"/>
      <w:sz w:val="30"/>
      <w:szCs w:val="30"/>
    </w:rPr>
  </w:style>
  <w:style w:type="paragraph" w:styleId="Heading2">
    <w:name w:val="Heading 2"/>
    <w:basedOn w:val="Normal"/>
    <w:next w:val="Normal"/>
    <w:qFormat/>
    <w:pPr>
      <w:spacing w:after="140" w:before="260"/>
      <w:outlineLvl w:val="1"/>
    </w:pPr>
    <w:rPr>
      <w:rFonts w:ascii="Garamond" w:cs="Garamond" w:eastAsia="Garamond" w:hAnsi="Garamond"/>
      <w:b/>
      <w:bCs/>
      <w:color w:val="1A1613"/>
      <w:sz w:val="23"/>
      <w:szCs w:val="23"/>
    </w:rPr>
  </w:style>
  <w:style w:type="paragraph" w:styleId="Heading3">
    <w:name w:val="Heading 3"/>
    <w:basedOn w:val="Normal"/>
    <w:next w:val="Normal"/>
    <w:qFormat/>
    <w:pPr>
      <w:spacing w:after="100" w:before="200"/>
      <w:outlineLvl w:val="2"/>
    </w:pPr>
    <w:rPr>
      <w:rFonts w:ascii="Garamond" w:cs="Garamond" w:eastAsia="Garamond" w:hAnsi="Garamond"/>
      <w:b/>
      <w:bCs/>
      <w:color w:val="9A7B3C"/>
      <w:sz w:val="21"/>
      <w:szCs w:val="21"/>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2026-04-07T04:22:38.191Z</dcterms:created>
  <dcterms:modified xsi:type="dcterms:W3CDTF">2026-04-07T04:22:38.191Z</dcterms:modified>
</cp:coreProperties>
</file>

<file path=docProps/custom.xml><?xml version="1.0" encoding="utf-8"?>
<Properties xmlns="http://schemas.openxmlformats.org/officeDocument/2006/custom-properties" xmlns:vt="http://schemas.openxmlformats.org/officeDocument/2006/docPropsVTypes"/>
</file>